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B" w:rsidRPr="007D76A5" w:rsidRDefault="004F2EFB" w:rsidP="004F2E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زمر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الأرابسك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...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حيث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يلتقي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الفن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والرياضيات</w:t>
      </w:r>
    </w:p>
    <w:p w:rsidR="004F2EFB" w:rsidRPr="007D76A5" w:rsidRDefault="004F2EFB" w:rsidP="004F2E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F2EFB" w:rsidRPr="007D76A5" w:rsidRDefault="004F2EFB" w:rsidP="004F2E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دليل</w:t>
      </w:r>
      <w:r w:rsidRPr="007D76A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7D76A5">
        <w:rPr>
          <w:rFonts w:ascii="Times New Roman" w:hAnsi="Times New Roman" w:cs="Times New Roman"/>
          <w:b/>
          <w:bCs/>
          <w:sz w:val="32"/>
          <w:szCs w:val="32"/>
          <w:rtl/>
        </w:rPr>
        <w:t>المعلم</w:t>
      </w: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F2EFB" w:rsidRDefault="004F2EFB" w:rsidP="00406F6D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2EFB">
        <w:rPr>
          <w:rFonts w:ascii="Times New Roman" w:hAnsi="Times New Roman" w:cs="Times New Roman"/>
          <w:b/>
          <w:bCs/>
          <w:sz w:val="28"/>
          <w:szCs w:val="28"/>
          <w:rtl/>
        </w:rPr>
        <w:t>الهدف</w:t>
      </w:r>
      <w:r w:rsidRPr="004F2EF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F2EFB">
        <w:rPr>
          <w:rFonts w:ascii="Times New Roman" w:hAnsi="Times New Roman" w:cs="Times New Roman"/>
          <w:b/>
          <w:bCs/>
          <w:sz w:val="28"/>
          <w:szCs w:val="28"/>
          <w:rtl/>
        </w:rPr>
        <w:t>العام</w:t>
      </w:r>
      <w:r w:rsidRPr="004F2EFB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4F2EFB" w:rsidRPr="004F2EFB" w:rsidRDefault="004F2EFB" w:rsidP="004F2EF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F2EFB" w:rsidRDefault="004F2EFB" w:rsidP="00235192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F2EFB">
        <w:rPr>
          <w:rFonts w:asciiTheme="majorBidi" w:hAnsiTheme="majorBidi" w:cstheme="majorBidi" w:hint="cs"/>
          <w:sz w:val="28"/>
          <w:szCs w:val="28"/>
          <w:rtl/>
        </w:rPr>
        <w:t xml:space="preserve">الهدف الرئيس لهذا الدرس المرئي هو </w:t>
      </w:r>
      <w:r>
        <w:rPr>
          <w:rFonts w:asciiTheme="majorBidi" w:hAnsiTheme="majorBidi" w:cstheme="majorBidi" w:hint="cs"/>
          <w:sz w:val="28"/>
          <w:szCs w:val="28"/>
          <w:rtl/>
        </w:rPr>
        <w:t>توضيح جانب هام من تطبيقات الرياضيات في الحياة العملية، وهو علاقة الرياضيات بفنّي الزخرفة والرسم. تم اختيار معظم الصور في هذا الدرس المرئي لحيطان في قصر الحمراء  - غرناطة (الأندلس) والذي يعتبر من أهم المعالم في الحضارة الإسلامية.</w:t>
      </w: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4F2EFB" w:rsidRPr="004F2EFB" w:rsidRDefault="004F2EFB" w:rsidP="004F2EF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F2EFB">
        <w:rPr>
          <w:rFonts w:ascii="Times New Roman" w:hAnsi="Times New Roman" w:cs="Times New Roman"/>
          <w:b/>
          <w:bCs/>
          <w:sz w:val="28"/>
          <w:szCs w:val="28"/>
          <w:rtl/>
        </w:rPr>
        <w:t>الأهداف</w:t>
      </w:r>
      <w:r w:rsidRPr="004F2EF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F2EFB">
        <w:rPr>
          <w:rFonts w:ascii="Times New Roman" w:hAnsi="Times New Roman" w:cs="Times New Roman"/>
          <w:b/>
          <w:bCs/>
          <w:sz w:val="28"/>
          <w:szCs w:val="28"/>
          <w:rtl/>
        </w:rPr>
        <w:t>التعليمية</w:t>
      </w:r>
      <w:r w:rsidRPr="004F2EFB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4F2EFB" w:rsidRDefault="004F2EFB" w:rsidP="004F2EF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ترسيخ مفهوم التناظرات الهندسية</w:t>
      </w:r>
    </w:p>
    <w:p w:rsidR="004F2EFB" w:rsidRDefault="004F2EFB" w:rsidP="004252B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إعطاء أمثلة على الزمر</w:t>
      </w:r>
      <w:r w:rsidR="004252B9">
        <w:rPr>
          <w:rFonts w:asciiTheme="majorBidi" w:hAnsiTheme="majorBidi" w:cstheme="majorBidi" w:hint="cs"/>
          <w:sz w:val="28"/>
          <w:szCs w:val="28"/>
          <w:rtl/>
        </w:rPr>
        <w:t xml:space="preserve"> من واقع الحياة العملية</w:t>
      </w:r>
    </w:p>
    <w:p w:rsidR="004F2EFB" w:rsidRPr="004252B9" w:rsidRDefault="004F2EFB" w:rsidP="004252B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تبيين أهمية المصفوفات وتطبيقاتها</w:t>
      </w: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المتطلبات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السابقة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4F2EFB" w:rsidRDefault="004F2EFB" w:rsidP="004F2EF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F2EFB" w:rsidRPr="00685C10" w:rsidRDefault="004F2EFB" w:rsidP="00685C10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F2EFB">
        <w:rPr>
          <w:rFonts w:asciiTheme="majorBidi" w:hAnsiTheme="majorBidi" w:cstheme="majorBidi" w:hint="cs"/>
          <w:sz w:val="28"/>
          <w:szCs w:val="28"/>
          <w:rtl/>
        </w:rPr>
        <w:t>كل ما يحتاجه الطالب لمتابعة هذا الدرس المرئي هو إلمام بسيط بمفهوم الزمرة، ومعرفة محدودة بالمصفوفات الثنائية، وكيفية ضرب هذه المصفوفات، ومفهوم النظير الضربي للمصفوفة الثنائية.</w:t>
      </w:r>
    </w:p>
    <w:p w:rsidR="004F2EFB" w:rsidRDefault="004F2EFB" w:rsidP="004F2E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B3A7D" w:rsidRDefault="00FB3A7D" w:rsidP="004F2EF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النشاطات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الصفية</w:t>
      </w:r>
    </w:p>
    <w:p w:rsidR="00FB3A7D" w:rsidRDefault="00FB3A7D" w:rsidP="00FB3A7D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B3A7D" w:rsidRDefault="00FB3A7D" w:rsidP="00FB3A7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5E1B6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الأول</w:t>
      </w:r>
      <w:r w:rsidRPr="005E1B6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حيث أن التناظرات تحافظ على الأبعاد، يبدو من المنطقي الإجابة أولاً على السؤال التالي:</w:t>
      </w:r>
    </w:p>
    <w:p w:rsidR="00FB3A7D" w:rsidRDefault="00FB3A7D" w:rsidP="00FB3A7D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B3A7D" w:rsidRPr="00FB3A7D" w:rsidRDefault="00FB3A7D" w:rsidP="00FB3A7D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5E1B6F">
        <w:rPr>
          <w:rFonts w:asciiTheme="majorBidi" w:hAnsiTheme="majorBidi" w:cstheme="majorBidi" w:hint="cs"/>
          <w:sz w:val="28"/>
          <w:szCs w:val="28"/>
          <w:rtl/>
        </w:rPr>
        <w:t xml:space="preserve">ما هي </w:t>
      </w:r>
      <w:r>
        <w:rPr>
          <w:rFonts w:asciiTheme="majorBidi" w:hAnsiTheme="majorBidi" w:cstheme="majorBidi" w:hint="cs"/>
          <w:sz w:val="28"/>
          <w:szCs w:val="28"/>
          <w:rtl/>
        </w:rPr>
        <w:t>مجموعة التناظرات الخاصة بالدائرة؟</w:t>
      </w:r>
    </w:p>
    <w:p w:rsidR="00FB3A7D" w:rsidRPr="00FB3A7D" w:rsidRDefault="00FB3A7D" w:rsidP="00FB3A7D">
      <w:pPr>
        <w:rPr>
          <w:rtl/>
        </w:rPr>
      </w:pPr>
      <w:r>
        <w:rPr>
          <w:rFonts w:hint="cs"/>
          <w:rtl/>
        </w:rPr>
        <w:t>========================================================================</w:t>
      </w:r>
    </w:p>
    <w:p w:rsidR="00FB3A7D" w:rsidRDefault="00FB3A7D" w:rsidP="00FB3A7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5E1B6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ثاني</w:t>
      </w:r>
      <w:r w:rsidRPr="005E1B6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أوجد جميع التناظرات الموجودة في الشماغ المعروضة أمامك. </w:t>
      </w:r>
    </w:p>
    <w:p w:rsidR="00FB3A7D" w:rsidRDefault="00FB3A7D" w:rsidP="00FB3A7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FB3A7D" w:rsidRDefault="00FB3A7D" w:rsidP="00FB3A7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045F4">
        <w:rPr>
          <w:rFonts w:asciiTheme="majorBidi" w:hAnsiTheme="majorBidi" w:cstheme="majorBidi" w:hint="cs"/>
          <w:sz w:val="28"/>
          <w:szCs w:val="28"/>
          <w:u w:val="single"/>
          <w:rtl/>
        </w:rPr>
        <w:t>ملاحظة:</w:t>
      </w:r>
      <w:r w:rsidRPr="00F045F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الشماغ هي غطاء للرأس يستعمله الرجال في العديد من البلدان العربية.</w:t>
      </w:r>
    </w:p>
    <w:p w:rsidR="00FB3A7D" w:rsidRDefault="00FB3A7D" w:rsidP="00FB3A7D">
      <w:pPr>
        <w:tabs>
          <w:tab w:val="right" w:pos="801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===========================================================</w:t>
      </w:r>
    </w:p>
    <w:p w:rsidR="00FB3A7D" w:rsidRDefault="00FB3A7D" w:rsidP="00FB3A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B3A7D" w:rsidRDefault="00FB3A7D" w:rsidP="0023519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5E1B6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E1B6F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ثالث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Pr="009661A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9661AE">
        <w:rPr>
          <w:rFonts w:asciiTheme="majorBidi" w:hAnsiTheme="majorBidi" w:cstheme="majorBidi" w:hint="cs"/>
          <w:sz w:val="28"/>
          <w:szCs w:val="28"/>
          <w:rtl/>
        </w:rPr>
        <w:t>رسم مثلثاً متطابق الأضاع، ثم قصه وحاول الإجابة على السؤال</w:t>
      </w:r>
      <w:r>
        <w:rPr>
          <w:rFonts w:asciiTheme="majorBidi" w:hAnsiTheme="majorBidi" w:cstheme="majorBidi" w:hint="cs"/>
          <w:sz w:val="28"/>
          <w:szCs w:val="28"/>
          <w:rtl/>
        </w:rPr>
        <w:t>ين</w:t>
      </w:r>
      <w:r w:rsidRPr="009661AE">
        <w:rPr>
          <w:rFonts w:asciiTheme="majorBidi" w:hAnsiTheme="majorBidi" w:cstheme="majorBidi" w:hint="cs"/>
          <w:sz w:val="28"/>
          <w:szCs w:val="28"/>
          <w:rtl/>
        </w:rPr>
        <w:t xml:space="preserve"> التالي</w:t>
      </w:r>
      <w:r>
        <w:rPr>
          <w:rFonts w:asciiTheme="majorBidi" w:hAnsiTheme="majorBidi" w:cstheme="majorBidi" w:hint="cs"/>
          <w:sz w:val="28"/>
          <w:szCs w:val="28"/>
          <w:rtl/>
        </w:rPr>
        <w:t>ين</w:t>
      </w:r>
      <w:r w:rsidRPr="009661AE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685C10" w:rsidRDefault="00685C10" w:rsidP="0023519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B3A7D" w:rsidRDefault="00FB3A7D" w:rsidP="00FB3A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ما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هي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مجموعة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التناظرات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الخاصة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بالمثلث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متطابق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الأضلاع؟</w:t>
      </w:r>
    </w:p>
    <w:p w:rsidR="00FB3A7D" w:rsidRDefault="00FB3A7D" w:rsidP="00FB3A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B3A7D" w:rsidRDefault="00FB3A7D" w:rsidP="00FB3A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وهل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تشكل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هذه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المجموعة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زمرة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جزئية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FB3A7D" w:rsidRDefault="00FB3A7D" w:rsidP="00FB3A7D">
      <w:pPr>
        <w:jc w:val="right"/>
        <w:rPr>
          <w:rtl/>
        </w:rPr>
      </w:pPr>
      <w:r>
        <w:rPr>
          <w:rFonts w:hint="cs"/>
          <w:rtl/>
        </w:rPr>
        <w:t>========================================================================</w:t>
      </w:r>
    </w:p>
    <w:p w:rsidR="00FB3A7D" w:rsidRDefault="00FB3A7D" w:rsidP="00536F6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الرابع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ارسم عدداً من المضلعات المنتظمة التي عدد أضلاعها 5 وقصها ثم حاول لصقها جنباً إلى جنب. ماذا تلاحظ. أعد العملية للمضلعات المنتظمة التي عدد أضلاعها 6، ثم تلك التي عدد أضلاعها 7. ماذا تستنتج؟</w:t>
      </w:r>
      <w:r w:rsidR="00536F60">
        <w:rPr>
          <w:rFonts w:ascii="Times New Roman" w:hAnsi="Times New Roman" w:cs="Times New Roman"/>
          <w:sz w:val="28"/>
          <w:szCs w:val="28"/>
        </w:rPr>
        <w:t xml:space="preserve"> </w:t>
      </w:r>
      <w:r w:rsidR="00536F60">
        <w:rPr>
          <w:rFonts w:ascii="Times New Roman" w:hAnsi="Times New Roman" w:cs="Times New Roman" w:hint="cs"/>
          <w:sz w:val="28"/>
          <w:szCs w:val="28"/>
          <w:rtl/>
        </w:rPr>
        <w:t>ما هي المضلعات المنتظمة التي يمكن رصها جنبا إلى جنب بحيث تغطي الحائط دون ترك أية فراغات ودون أن يكون هناك أي تداخل بينها.</w:t>
      </w:r>
    </w:p>
    <w:p w:rsidR="00FB3A7D" w:rsidRPr="00FB3A7D" w:rsidRDefault="00FB3A7D" w:rsidP="00FB3A7D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===========================================================</w:t>
      </w:r>
    </w:p>
    <w:p w:rsidR="00FB3A7D" w:rsidRDefault="00FB3A7D" w:rsidP="00FB3A7D">
      <w:pPr>
        <w:tabs>
          <w:tab w:val="left" w:pos="1993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خامس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F12A8A">
        <w:rPr>
          <w:rFonts w:asciiTheme="majorBidi" w:hAnsiTheme="majorBidi" w:cstheme="majorBidi" w:hint="cs"/>
          <w:sz w:val="28"/>
          <w:szCs w:val="28"/>
          <w:rtl/>
        </w:rPr>
        <w:t>ما رأيكم بمحاولة إيجاد وحدة البناء الأساس في الشكل التالي</w:t>
      </w:r>
      <w:r w:rsidR="005E6167">
        <w:rPr>
          <w:rFonts w:asciiTheme="majorBidi" w:hAnsiTheme="majorBidi" w:cstheme="majorBidi" w:hint="cs"/>
          <w:sz w:val="28"/>
          <w:szCs w:val="28"/>
          <w:rtl/>
        </w:rPr>
        <w:t xml:space="preserve"> المأخوذ في قصر الحمراء</w:t>
      </w:r>
      <w:r w:rsidRPr="00F12A8A"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FB3A7D" w:rsidRPr="00FB3A7D" w:rsidRDefault="00FB3A7D" w:rsidP="00FB3A7D">
      <w:pPr>
        <w:tabs>
          <w:tab w:val="left" w:pos="1993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1951990" cy="1465580"/>
            <wp:effectExtent l="19050" t="0" r="0" b="0"/>
            <wp:docPr id="21" name="Picture 2" descr="D:\MIT\Arabesque\Misc\Pics\Jawad-Alhambra\SAM_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T\Arabesque\Misc\Pics\Jawad-Alhambra\SAM_2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7D" w:rsidRDefault="00FB3A7D" w:rsidP="00FB3A7D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==========================================================</w:t>
      </w:r>
    </w:p>
    <w:p w:rsidR="00FB3A7D" w:rsidRDefault="00FB3A7D" w:rsidP="009F046E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النشاط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64C41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سادس</w:t>
      </w:r>
      <w:r w:rsidRPr="00764C41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صنف زمرة </w:t>
      </w:r>
      <w:r w:rsidR="009F046E">
        <w:rPr>
          <w:rFonts w:asciiTheme="majorBidi" w:hAnsiTheme="majorBidi" w:cstheme="majorBidi" w:hint="cs"/>
          <w:sz w:val="28"/>
          <w:szCs w:val="28"/>
          <w:rtl/>
        </w:rPr>
        <w:t>ورقة الحائط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الخاصة بالشكل التالي الذي يضم صورة عن إحدى لوحات الرسام الشهير إيشر 1898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1972 الذي استعمل التناظرات في الكثير من لوحاته ذائعة الصيت.</w:t>
      </w:r>
    </w:p>
    <w:p w:rsidR="00FB3A7D" w:rsidRPr="00685C10" w:rsidRDefault="00FB3A7D" w:rsidP="00685C10">
      <w:pPr>
        <w:bidi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inline distT="0" distB="0" distL="0" distR="0">
            <wp:extent cx="1679575" cy="1634490"/>
            <wp:effectExtent l="1905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10" w:rsidRDefault="00685C10" w:rsidP="00FB3A7D">
      <w:pPr>
        <w:bidi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FB3A7D" w:rsidRPr="0056788B" w:rsidRDefault="00FB3A7D" w:rsidP="00685C10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678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  <w:t>ملاحظة</w:t>
      </w:r>
      <w:r w:rsidRPr="0056788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56788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لمزيد من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التمرين </w:t>
      </w:r>
      <w:r w:rsidRPr="0056788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يمكن الاستعانة ببعض الأمثلة الموضحة على صفحة الانترنت التالية:</w:t>
      </w:r>
    </w:p>
    <w:p w:rsidR="00FB3A7D" w:rsidRDefault="00A013E2" w:rsidP="00235192">
      <w:pPr>
        <w:bidi/>
        <w:jc w:val="both"/>
      </w:pPr>
      <w:hyperlink r:id="rId7" w:history="1">
        <w:r w:rsidR="00FB3A7D" w:rsidRPr="006179E6">
          <w:rPr>
            <w:rStyle w:val="Hyperlink"/>
            <w:rFonts w:asciiTheme="majorBidi" w:hAnsiTheme="majorBidi" w:cstheme="majorBidi"/>
            <w:sz w:val="28"/>
            <w:szCs w:val="28"/>
          </w:rPr>
          <w:t>http://www.clowder.net/hop/17walppr/17walppr.html</w:t>
        </w:r>
      </w:hyperlink>
    </w:p>
    <w:sectPr w:rsidR="00FB3A7D" w:rsidSect="004F794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57B2"/>
    <w:multiLevelType w:val="hybridMultilevel"/>
    <w:tmpl w:val="935A6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20"/>
  <w:characterSpacingControl w:val="doNotCompress"/>
  <w:compat/>
  <w:rsids>
    <w:rsidRoot w:val="00FB3A7D"/>
    <w:rsid w:val="00235192"/>
    <w:rsid w:val="00406F6D"/>
    <w:rsid w:val="004252B9"/>
    <w:rsid w:val="004F2EFB"/>
    <w:rsid w:val="004F794F"/>
    <w:rsid w:val="00536F60"/>
    <w:rsid w:val="005E6167"/>
    <w:rsid w:val="00685C10"/>
    <w:rsid w:val="007239C2"/>
    <w:rsid w:val="007D76A5"/>
    <w:rsid w:val="007F5DEA"/>
    <w:rsid w:val="00823EC4"/>
    <w:rsid w:val="009C1873"/>
    <w:rsid w:val="009F046E"/>
    <w:rsid w:val="00A013E2"/>
    <w:rsid w:val="00A32F70"/>
    <w:rsid w:val="00BD2BA2"/>
    <w:rsid w:val="00C11545"/>
    <w:rsid w:val="00D63B24"/>
    <w:rsid w:val="00DE3F0B"/>
    <w:rsid w:val="00F11544"/>
    <w:rsid w:val="00FB3A7D"/>
    <w:rsid w:val="00FF49FD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7D"/>
    <w:rPr>
      <w:rFonts w:ascii="Calibri" w:eastAsia="Calibri" w:hAnsi="Calibri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7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lowder.net/hop/17walppr/17walppr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Janice Hall</cp:lastModifiedBy>
  <cp:revision>2</cp:revision>
  <dcterms:created xsi:type="dcterms:W3CDTF">2012-05-22T19:17:00Z</dcterms:created>
  <dcterms:modified xsi:type="dcterms:W3CDTF">2012-05-22T19:17:00Z</dcterms:modified>
</cp:coreProperties>
</file>