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40"/>
          <w:szCs w:val="40"/>
        </w:rPr>
      </w:pPr>
      <w:r>
        <w:rPr>
          <w:b w:val="1"/>
          <w:bCs w:val="1"/>
          <w:sz w:val="40"/>
          <w:szCs w:val="40"/>
          <w:rtl w:val="0"/>
          <w:lang w:val="en-US"/>
        </w:rPr>
        <w:t>BLOSSOMS at Home</w:t>
      </w:r>
    </w:p>
    <w:p>
      <w:pPr>
        <w:pStyle w:val="Body A"/>
        <w:jc w:val="center"/>
        <w:rPr>
          <w:b w:val="1"/>
          <w:bCs w:val="1"/>
          <w:i w:val="1"/>
          <w:iCs w:val="1"/>
          <w:sz w:val="32"/>
          <w:szCs w:val="32"/>
        </w:rPr>
      </w:pPr>
      <w:r>
        <w:rPr>
          <w:b w:val="1"/>
          <w:bCs w:val="1"/>
          <w:i w:val="1"/>
          <w:iCs w:val="1"/>
          <w:sz w:val="32"/>
          <w:szCs w:val="32"/>
          <w:rtl w:val="0"/>
          <w:lang w:val="en-US"/>
        </w:rPr>
        <w:t>Pythagorean Theorem</w:t>
      </w:r>
    </w:p>
    <w:p>
      <w:pPr>
        <w:pStyle w:val="Body A"/>
      </w:pPr>
    </w:p>
    <w:p>
      <w:pPr>
        <w:pStyle w:val="Body A"/>
        <w:rPr>
          <w:sz w:val="22"/>
          <w:szCs w:val="22"/>
        </w:rPr>
      </w:pPr>
      <w:r>
        <w:rPr>
          <w:b w:val="1"/>
          <w:bCs w:val="1"/>
          <w:i w:val="1"/>
          <w:iCs w:val="1"/>
          <w:sz w:val="22"/>
          <w:szCs w:val="22"/>
          <w:rtl w:val="0"/>
          <w:lang w:val="en-US"/>
        </w:rPr>
        <w:t>Key Words:</w:t>
      </w:r>
      <w:r>
        <w:rPr>
          <w:sz w:val="22"/>
          <w:szCs w:val="22"/>
          <w:rtl w:val="0"/>
          <w:lang w:val="en-US"/>
        </w:rPr>
        <w:t xml:space="preserve">  Pythagorean Theorem, geometry, active learning, reflective learning, constructive learning</w:t>
      </w:r>
    </w:p>
    <w:p>
      <w:pPr>
        <w:pStyle w:val="Body A"/>
        <w:rPr>
          <w:sz w:val="22"/>
          <w:szCs w:val="22"/>
        </w:rPr>
      </w:pPr>
      <w:r>
        <w:rPr>
          <w:b w:val="1"/>
          <w:bCs w:val="1"/>
          <w:i w:val="1"/>
          <w:iCs w:val="1"/>
          <w:sz w:val="22"/>
          <w:szCs w:val="22"/>
          <w:rtl w:val="0"/>
          <w:lang w:val="sv-SE"/>
        </w:rPr>
        <w:t>Grade levels</w:t>
      </w:r>
      <w:r>
        <w:rPr>
          <w:sz w:val="22"/>
          <w:szCs w:val="22"/>
          <w:rtl w:val="0"/>
          <w:lang w:val="en-US"/>
        </w:rPr>
        <w:t xml:space="preserve">: 9 </w:t>
      </w:r>
      <w:r>
        <w:rPr>
          <w:sz w:val="22"/>
          <w:szCs w:val="22"/>
          <w:rtl w:val="0"/>
          <w:lang w:val="en-US"/>
        </w:rPr>
        <w:t xml:space="preserve">– </w:t>
      </w:r>
      <w:r>
        <w:rPr>
          <w:sz w:val="22"/>
          <w:szCs w:val="22"/>
          <w:rtl w:val="0"/>
          <w:lang w:val="en-US"/>
        </w:rPr>
        <w:t>12.</w:t>
      </w:r>
    </w:p>
    <w:p>
      <w:pPr>
        <w:pStyle w:val="Body A"/>
        <w:rPr>
          <w:sz w:val="22"/>
          <w:szCs w:val="22"/>
        </w:rPr>
      </w:pPr>
    </w:p>
    <w:p>
      <w:pPr>
        <w:pStyle w:val="Body A"/>
        <w:rPr>
          <w:b w:val="1"/>
          <w:bCs w:val="1"/>
          <w:i w:val="1"/>
          <w:iCs w:val="1"/>
          <w:sz w:val="22"/>
          <w:szCs w:val="22"/>
          <w:u w:val="single"/>
        </w:rPr>
      </w:pPr>
      <w:r>
        <w:rPr>
          <w:b w:val="1"/>
          <w:bCs w:val="1"/>
          <w:i w:val="1"/>
          <w:iCs w:val="1"/>
          <w:sz w:val="22"/>
          <w:szCs w:val="22"/>
          <w:u w:val="single"/>
          <w:rtl w:val="0"/>
          <w:lang w:val="en-US"/>
        </w:rPr>
        <w:t xml:space="preserve">Dear Student@Home!~  </w:t>
      </w:r>
    </w:p>
    <w:p>
      <w:pPr>
        <w:pStyle w:val="Body A"/>
        <w:rPr>
          <w:sz w:val="22"/>
          <w:szCs w:val="22"/>
        </w:rPr>
      </w:pPr>
      <w:r>
        <w:rPr>
          <w:sz w:val="22"/>
          <w:szCs w:val="22"/>
          <w:rtl w:val="0"/>
          <w:lang w:val="en-US"/>
        </w:rPr>
        <w:t xml:space="preserve">Hi from MIT in Cambridge, Massachusetts, USA! We have a nice little project for you to do over the next week.  It requires you to look at and think about two MIT BLOSSOMS video lessons, answer questions posed within the videos, and then write a short essay addressing the new questions we pose here.  Total estimated time for you:  only 4 hours or less!  Send me your short essay (300 words or less), I promise to read it, and send comments to you!  That way you get to </w:t>
      </w:r>
      <w:r>
        <w:rPr>
          <w:rFonts w:ascii="Arial Unicode MS" w:hAnsi="Arial Unicode MS" w:hint="default"/>
          <w:sz w:val="22"/>
          <w:szCs w:val="22"/>
          <w:rtl w:val="1"/>
          <w:lang w:val="ar-SA" w:bidi="ar-SA"/>
        </w:rPr>
        <w:t>“</w:t>
      </w:r>
      <w:r>
        <w:rPr>
          <w:sz w:val="22"/>
          <w:szCs w:val="22"/>
          <w:rtl w:val="0"/>
          <w:lang w:val="en-US"/>
        </w:rPr>
        <w:t>meet</w:t>
      </w:r>
      <w:r>
        <w:rPr>
          <w:sz w:val="22"/>
          <w:szCs w:val="22"/>
          <w:rtl w:val="0"/>
          <w:lang w:val="en-US"/>
        </w:rPr>
        <w:t xml:space="preserve">” </w:t>
      </w:r>
      <w:r>
        <w:rPr>
          <w:sz w:val="22"/>
          <w:szCs w:val="22"/>
          <w:rtl w:val="0"/>
          <w:lang w:val="en-US"/>
        </w:rPr>
        <w:t xml:space="preserve">an MIT professor, and I get to meet a dedicated and excited high school student </w:t>
      </w:r>
      <w:r>
        <w:rPr>
          <w:sz w:val="22"/>
          <w:szCs w:val="22"/>
          <w:rtl w:val="0"/>
          <w:lang w:val="en-US"/>
        </w:rPr>
        <w:t xml:space="preserve">– </w:t>
      </w:r>
      <w:r>
        <w:rPr>
          <w:sz w:val="22"/>
          <w:szCs w:val="22"/>
          <w:rtl w:val="0"/>
          <w:lang w:val="en-US"/>
        </w:rPr>
        <w:t>You!  Really great essays will get a Gold Star from us.  You might want to share your essay and our communication with your teacher, and your friends as well!</w:t>
      </w:r>
    </w:p>
    <w:p>
      <w:pPr>
        <w:pStyle w:val="Body A"/>
        <w:rPr>
          <w:sz w:val="22"/>
          <w:szCs w:val="22"/>
        </w:rPr>
      </w:pPr>
    </w:p>
    <w:p>
      <w:pPr>
        <w:pStyle w:val="Body A"/>
        <w:rPr>
          <w:sz w:val="22"/>
          <w:szCs w:val="22"/>
        </w:rPr>
      </w:pPr>
      <w:r>
        <w:rPr>
          <w:sz w:val="22"/>
          <w:szCs w:val="22"/>
          <w:rtl w:val="0"/>
          <w:lang w:val="en-US"/>
        </w:rPr>
        <w:t xml:space="preserve">If enough of you like this idea of at-home projects, we will develop other weekly projects on different topics in science, mathematics and engineering, and offer them to you on a weekly basis.  Cost? Zero! Benefits to you </w:t>
      </w:r>
      <w:r>
        <w:rPr>
          <w:sz w:val="22"/>
          <w:szCs w:val="22"/>
          <w:rtl w:val="0"/>
          <w:lang w:val="en-US"/>
        </w:rPr>
        <w:t xml:space="preserve">– </w:t>
      </w:r>
      <w:r>
        <w:rPr>
          <w:sz w:val="22"/>
          <w:szCs w:val="22"/>
          <w:rtl w:val="0"/>
          <w:lang w:val="en-US"/>
        </w:rPr>
        <w:t>learning new things in STEM, not by rote memorization, but by your own active learning, discovery, refection and analysis.  So, watch the two lessons shown below and then write an integrated essay in response to the four questions.  Have fun!  Looking forward to your emailed essay!</w:t>
      </w:r>
    </w:p>
    <w:p>
      <w:pPr>
        <w:pStyle w:val="Body A"/>
        <w:rPr>
          <w:sz w:val="22"/>
          <w:szCs w:val="22"/>
        </w:rPr>
      </w:pPr>
    </w:p>
    <w:p>
      <w:pPr>
        <w:pStyle w:val="Body A"/>
        <w:rPr>
          <w:rStyle w:val="None"/>
          <w:sz w:val="22"/>
          <w:szCs w:val="22"/>
        </w:rPr>
      </w:pPr>
      <w:r>
        <w:rPr>
          <w:b w:val="1"/>
          <w:bCs w:val="1"/>
          <w:sz w:val="22"/>
          <w:szCs w:val="22"/>
          <w:rtl w:val="0"/>
          <w:lang w:val="nl-NL"/>
        </w:rPr>
        <w:t>Dick Larson</w:t>
      </w:r>
      <w:r>
        <w:rPr>
          <w:sz w:val="22"/>
          <w:szCs w:val="22"/>
          <w:rtl w:val="0"/>
          <w:lang w:val="en-US"/>
        </w:rPr>
        <w:t xml:space="preserve"> </w:t>
      </w:r>
      <w:r>
        <w:rPr>
          <w:rFonts w:ascii="Helvetica Neue" w:hAnsi="Helvetica Neue"/>
          <w:outline w:val="0"/>
          <w:color w:val="000000"/>
          <w:sz w:val="36"/>
          <w:szCs w:val="36"/>
          <w:u w:color="000000"/>
          <w:rtl w:val="0"/>
          <w:lang w:val="en-US"/>
          <w14:textFill>
            <w14:solidFill>
              <w14:srgbClr w14:val="000000"/>
            </w14:solidFill>
          </w14:textFill>
        </w:rPr>
        <w:t xml:space="preserve">  </w:t>
      </w:r>
      <w:r>
        <w:rPr>
          <w:rStyle w:val="Hyperlink.0"/>
          <w:outline w:val="0"/>
          <w:color w:val="0563c1"/>
          <w:sz w:val="22"/>
          <w:szCs w:val="22"/>
          <w:u w:val="single" w:color="0563c1"/>
          <w:lang w:val="en-US"/>
          <w14:textFill>
            <w14:solidFill>
              <w14:srgbClr w14:val="0563C1"/>
            </w14:solidFill>
          </w14:textFill>
        </w:rPr>
        <w:fldChar w:fldCharType="begin" w:fldLock="0"/>
      </w:r>
      <w:r>
        <w:rPr>
          <w:rStyle w:val="Hyperlink.0"/>
          <w:outline w:val="0"/>
          <w:color w:val="0563c1"/>
          <w:sz w:val="22"/>
          <w:szCs w:val="22"/>
          <w:u w:val="single" w:color="0563c1"/>
          <w:lang w:val="en-US"/>
          <w14:textFill>
            <w14:solidFill>
              <w14:srgbClr w14:val="0563C1"/>
            </w14:solidFill>
          </w14:textFill>
        </w:rPr>
        <w:instrText xml:space="preserve"> HYPERLINK "mailto:blossoms@mit.edu"</w:instrText>
      </w:r>
      <w:r>
        <w:rPr>
          <w:rStyle w:val="Hyperlink.0"/>
          <w:outline w:val="0"/>
          <w:color w:val="0563c1"/>
          <w:sz w:val="22"/>
          <w:szCs w:val="22"/>
          <w:u w:val="single" w:color="0563c1"/>
          <w:lang w:val="en-US"/>
          <w14:textFill>
            <w14:solidFill>
              <w14:srgbClr w14:val="0563C1"/>
            </w14:solidFill>
          </w14:textFill>
        </w:rPr>
        <w:fldChar w:fldCharType="separate" w:fldLock="0"/>
      </w:r>
      <w:r>
        <w:rPr>
          <w:rStyle w:val="Hyperlink.0"/>
          <w:outline w:val="0"/>
          <w:color w:val="0563c1"/>
          <w:sz w:val="22"/>
          <w:szCs w:val="22"/>
          <w:u w:val="single" w:color="0563c1"/>
          <w:rtl w:val="0"/>
          <w:lang w:val="en-US"/>
          <w14:textFill>
            <w14:solidFill>
              <w14:srgbClr w14:val="0563C1"/>
            </w14:solidFill>
          </w14:textFill>
        </w:rPr>
        <w:t>blossoms@mit.edu</w:t>
      </w:r>
      <w:r>
        <w:rPr/>
        <w:fldChar w:fldCharType="end" w:fldLock="0"/>
      </w:r>
      <w:r>
        <w:rPr>
          <w:rStyle w:val="None"/>
          <w:rFonts w:ascii="Helvetica Neue" w:hAnsi="Helvetica Neue"/>
          <w:outline w:val="0"/>
          <w:color w:val="000000"/>
          <w:sz w:val="36"/>
          <w:szCs w:val="36"/>
          <w:u w:color="000000"/>
          <w:rtl w:val="0"/>
          <w:lang w:val="en-US"/>
          <w14:textFill>
            <w14:solidFill>
              <w14:srgbClr w14:val="000000"/>
            </w14:solidFill>
          </w14:textFill>
        </w:rPr>
        <w:t xml:space="preserve"> </w:t>
      </w:r>
      <w:r>
        <w:rPr>
          <w:rStyle w:val="None"/>
          <w:sz w:val="22"/>
          <w:szCs w:val="22"/>
          <w:rtl w:val="0"/>
          <w:lang w:val="en-US"/>
        </w:rPr>
        <w:t xml:space="preserve"> </w:t>
      </w:r>
    </w:p>
    <w:p>
      <w:pPr>
        <w:pStyle w:val="Body A"/>
        <w:rPr>
          <w:rStyle w:val="None"/>
          <w:sz w:val="22"/>
          <w:szCs w:val="22"/>
        </w:rPr>
      </w:pPr>
      <w:r>
        <w:rPr>
          <w:rStyle w:val="None"/>
          <w:sz w:val="22"/>
          <w:szCs w:val="22"/>
          <w:rtl w:val="0"/>
          <w:lang w:val="en-US"/>
        </w:rPr>
        <w:t>Mitsui Professor, Post-Tenure, Institute for Data, Systems, and Society</w:t>
      </w:r>
    </w:p>
    <w:p>
      <w:pPr>
        <w:pStyle w:val="Body A"/>
        <w:rPr>
          <w:rStyle w:val="None"/>
          <w:sz w:val="22"/>
          <w:szCs w:val="22"/>
        </w:rPr>
      </w:pPr>
      <w:r>
        <w:rPr>
          <w:rStyle w:val="None"/>
          <w:sz w:val="22"/>
          <w:szCs w:val="22"/>
          <w:rtl w:val="0"/>
          <w:lang w:val="en-US"/>
        </w:rPr>
        <w:t>Massachusetts Institute of Technology, Cambridge, Massachusetts 02139 USA</w:t>
      </w:r>
    </w:p>
    <w:p>
      <w:pPr>
        <w:pStyle w:val="Body A"/>
        <w:rPr>
          <w:rStyle w:val="None"/>
          <w:sz w:val="22"/>
          <w:szCs w:val="22"/>
        </w:rPr>
      </w:pPr>
      <w:r>
        <w:rPr>
          <w:rStyle w:val="None"/>
          <w:sz w:val="22"/>
          <w:szCs w:val="22"/>
          <w:rtl w:val="0"/>
          <w:lang w:val="en-US"/>
        </w:rPr>
        <w:t>____________________________________________________________________________________</w:t>
      </w:r>
    </w:p>
    <w:p>
      <w:pPr>
        <w:pStyle w:val="Body A"/>
        <w:spacing w:line="312" w:lineRule="atLeast"/>
        <w:outlineLvl w:val="0"/>
        <w:rPr>
          <w:rStyle w:val="None"/>
          <w:sz w:val="22"/>
          <w:szCs w:val="22"/>
        </w:rPr>
      </w:pPr>
      <w:r>
        <w:rPr>
          <w:rStyle w:val="None"/>
          <w:rFonts w:ascii="Helvetica" w:hAnsi="Helvetica"/>
          <w:b w:val="1"/>
          <w:bCs w:val="1"/>
          <w:outline w:val="0"/>
          <w:color w:val="000000"/>
          <w:kern w:val="36"/>
          <w:sz w:val="28"/>
          <w:szCs w:val="28"/>
          <w:u w:color="000000"/>
          <w:rtl w:val="0"/>
          <w:lang w:val="en-US"/>
          <w14:textFill>
            <w14:solidFill>
              <w14:srgbClr w14:val="000000"/>
            </w14:solidFill>
          </w14:textFill>
        </w:rPr>
        <w:t>The Pythagorean Theorem: Geometry</w:t>
      </w:r>
      <w:r>
        <w:rPr>
          <w:rStyle w:val="None"/>
          <w:rFonts w:ascii="Helvetica" w:hAnsi="Helvetica" w:hint="default"/>
          <w:b w:val="1"/>
          <w:bCs w:val="1"/>
          <w:outline w:val="0"/>
          <w:color w:val="000000"/>
          <w:kern w:val="36"/>
          <w:sz w:val="28"/>
          <w:szCs w:val="28"/>
          <w:u w:color="000000"/>
          <w:rtl w:val="0"/>
          <w:lang w:val="en-US"/>
          <w14:textFill>
            <w14:solidFill>
              <w14:srgbClr w14:val="000000"/>
            </w14:solidFill>
          </w14:textFill>
        </w:rPr>
        <w:t>’</w:t>
      </w:r>
      <w:r>
        <w:rPr>
          <w:rStyle w:val="None"/>
          <w:rFonts w:ascii="Helvetica" w:hAnsi="Helvetica"/>
          <w:b w:val="1"/>
          <w:bCs w:val="1"/>
          <w:outline w:val="0"/>
          <w:color w:val="000000"/>
          <w:kern w:val="36"/>
          <w:sz w:val="28"/>
          <w:szCs w:val="28"/>
          <w:u w:color="000000"/>
          <w:rtl w:val="0"/>
          <w:lang w:val="en-US"/>
          <w14:textFill>
            <w14:solidFill>
              <w14:srgbClr w14:val="000000"/>
            </w14:solidFill>
          </w14:textFill>
        </w:rPr>
        <w:t>s Most Elegant Theorem</w:t>
      </w:r>
    </w:p>
    <w:p>
      <w:pPr>
        <w:pStyle w:val="Body A"/>
        <w:rPr>
          <w:outline w:val="0"/>
          <w:color w:val="487caa"/>
          <w:sz w:val="22"/>
          <w:szCs w:val="22"/>
          <w14:textFill>
            <w14:solidFill>
              <w14:srgbClr w14:val="497CAA"/>
            </w14:solidFill>
          </w14:textFill>
        </w:rPr>
      </w:pPr>
      <w:r>
        <w:rPr>
          <w:rStyle w:val="Hyperlink.1"/>
          <w:outline w:val="0"/>
          <w:color w:val="487caa"/>
          <w:sz w:val="22"/>
          <w:szCs w:val="22"/>
          <w:u w:val="single" w:color="0000ff"/>
          <w14:textFill>
            <w14:solidFill>
              <w14:srgbClr w14:val="497CAA"/>
            </w14:solidFill>
          </w14:textFill>
        </w:rPr>
        <w:fldChar w:fldCharType="begin" w:fldLock="0"/>
      </w:r>
      <w:r>
        <w:rPr>
          <w:rStyle w:val="Hyperlink.1"/>
          <w:outline w:val="0"/>
          <w:color w:val="487caa"/>
          <w:sz w:val="22"/>
          <w:szCs w:val="22"/>
          <w:u w:val="single" w:color="0000ff"/>
          <w14:textFill>
            <w14:solidFill>
              <w14:srgbClr w14:val="497CAA"/>
            </w14:solidFill>
          </w14:textFill>
        </w:rPr>
        <w:instrText xml:space="preserve"> HYPERLINK "https://blossoms.mit.edu/videos/lessons/pythagorean_theorem_geometry_most_elegant_theorem"</w:instrText>
      </w:r>
      <w:r>
        <w:rPr>
          <w:rStyle w:val="Hyperlink.1"/>
          <w:outline w:val="0"/>
          <w:color w:val="487caa"/>
          <w:sz w:val="22"/>
          <w:szCs w:val="22"/>
          <w:u w:val="single" w:color="0000ff"/>
          <w14:textFill>
            <w14:solidFill>
              <w14:srgbClr w14:val="497CAA"/>
            </w14:solidFill>
          </w14:textFill>
        </w:rPr>
        <w:fldChar w:fldCharType="separate" w:fldLock="0"/>
      </w:r>
      <w:r>
        <w:rPr>
          <w:rStyle w:val="Hyperlink.1"/>
          <w:outline w:val="0"/>
          <w:color w:val="487caa"/>
          <w:sz w:val="22"/>
          <w:szCs w:val="22"/>
          <w:u w:val="single" w:color="0000ff"/>
          <w:rtl w:val="0"/>
          <w:lang w:val="en-US"/>
          <w14:textFill>
            <w14:solidFill>
              <w14:srgbClr w14:val="497CAA"/>
            </w14:solidFill>
          </w14:textFill>
        </w:rPr>
        <w:t>https://blossoms.mit.edu/videos/lessons/pythagorean_theorem_geometry_most_elegant_theorem</w:t>
      </w:r>
      <w:r>
        <w:rPr>
          <w:outline w:val="0"/>
          <w:color w:val="487caa"/>
          <w:sz w:val="22"/>
          <w:szCs w:val="22"/>
          <w14:textFill>
            <w14:solidFill>
              <w14:srgbClr w14:val="497CAA"/>
            </w14:solidFill>
          </w14:textFill>
        </w:rPr>
        <w:fldChar w:fldCharType="end" w:fldLock="0"/>
      </w:r>
    </w:p>
    <w:p>
      <w:pPr>
        <w:pStyle w:val="Body A"/>
        <w:rPr>
          <w:rStyle w:val="None"/>
          <w:sz w:val="22"/>
          <w:szCs w:val="22"/>
        </w:rPr>
      </w:pPr>
    </w:p>
    <w:p>
      <w:pPr>
        <w:pStyle w:val="Body A"/>
      </w:pPr>
    </w:p>
    <w:p>
      <w:pPr>
        <w:pStyle w:val="Heading"/>
        <w:spacing w:before="0" w:after="0" w:line="312" w:lineRule="atLeast"/>
        <w:rPr>
          <w:rStyle w:val="None"/>
          <w:rFonts w:ascii="Helvetica" w:cs="Helvetica" w:hAnsi="Helvetica" w:eastAsia="Helvetica"/>
          <w:outline w:val="0"/>
          <w:color w:val="000000"/>
          <w:sz w:val="28"/>
          <w:szCs w:val="28"/>
          <w:u w:color="000000"/>
          <w14:textFill>
            <w14:solidFill>
              <w14:srgbClr w14:val="000000"/>
            </w14:solidFill>
          </w14:textFill>
        </w:rPr>
      </w:pPr>
      <w:r>
        <w:rPr>
          <w:rStyle w:val="None"/>
          <w:rFonts w:ascii="Helvetica" w:hAnsi="Helvetica"/>
          <w:outline w:val="0"/>
          <w:color w:val="000000"/>
          <w:sz w:val="28"/>
          <w:szCs w:val="28"/>
          <w:u w:color="000000"/>
          <w:rtl w:val="0"/>
          <w:lang w:val="en-US"/>
          <w14:textFill>
            <w14:solidFill>
              <w14:srgbClr w14:val="000000"/>
            </w14:solidFill>
          </w14:textFill>
        </w:rPr>
        <w:t>The Parallax Activity: Measuring the Distances to Nearby Stars</w:t>
      </w:r>
    </w:p>
    <w:p>
      <w:pPr>
        <w:pStyle w:val="Body A"/>
        <w:rPr>
          <w:rStyle w:val="None"/>
          <w:sz w:val="22"/>
          <w:szCs w:val="22"/>
        </w:rPr>
      </w:pPr>
      <w:r>
        <w:rPr>
          <w:rStyle w:val="Hyperlink.2"/>
        </w:rPr>
        <w:fldChar w:fldCharType="begin" w:fldLock="0"/>
      </w:r>
      <w:r>
        <w:rPr>
          <w:rStyle w:val="Hyperlink.2"/>
        </w:rPr>
        <w:instrText xml:space="preserve"> HYPERLINK "https://blossoms.mit.edu/videos/lessons/parallax_activity_measuring_distances_nearby_stars"</w:instrText>
      </w:r>
      <w:r>
        <w:rPr>
          <w:rStyle w:val="Hyperlink.2"/>
        </w:rPr>
        <w:fldChar w:fldCharType="separate" w:fldLock="0"/>
      </w:r>
      <w:r>
        <w:rPr>
          <w:rStyle w:val="Hyperlink.2"/>
          <w:rtl w:val="0"/>
        </w:rPr>
        <w:t>https://blossoms.mit.edu/videos/lessons/parallax_activity_measuring_distances_nearby_stars</w:t>
      </w:r>
      <w:r>
        <w:rPr/>
        <w:fldChar w:fldCharType="end" w:fldLock="0"/>
      </w:r>
      <w:r>
        <w:rPr>
          <w:rStyle w:val="None"/>
          <w:sz w:val="22"/>
          <w:szCs w:val="22"/>
          <w:rtl w:val="0"/>
          <w:lang w:val="en-US"/>
        </w:rPr>
        <w:t xml:space="preserve"> </w:t>
      </w:r>
    </w:p>
    <w:p>
      <w:pPr>
        <w:pStyle w:val="Body A"/>
      </w:pPr>
    </w:p>
    <w:p>
      <w:pPr>
        <w:pStyle w:val="Body A"/>
        <w:rPr>
          <w:rStyle w:val="None"/>
          <w:b w:val="1"/>
          <w:bCs w:val="1"/>
          <w:u w:val="single"/>
          <w:lang w:val="it-IT"/>
        </w:rPr>
      </w:pPr>
      <w:r>
        <w:rPr>
          <w:rStyle w:val="None"/>
          <w:b w:val="1"/>
          <w:bCs w:val="1"/>
          <w:u w:val="single"/>
          <w:rtl w:val="0"/>
          <w:lang w:val="it-IT"/>
        </w:rPr>
        <w:t>Questions:</w:t>
      </w:r>
    </w:p>
    <w:p>
      <w:pPr>
        <w:pStyle w:val="List Paragraph"/>
        <w:numPr>
          <w:ilvl w:val="0"/>
          <w:numId w:val="2"/>
        </w:numPr>
        <w:bidi w:val="0"/>
        <w:ind w:right="0"/>
        <w:jc w:val="left"/>
        <w:rPr>
          <w:sz w:val="22"/>
          <w:szCs w:val="22"/>
          <w:rtl w:val="0"/>
          <w:lang w:val="en-US"/>
        </w:rPr>
      </w:pPr>
      <w:r>
        <w:rPr>
          <w:rStyle w:val="None"/>
          <w:sz w:val="22"/>
          <w:szCs w:val="22"/>
          <w:rtl w:val="0"/>
          <w:lang w:val="en-US"/>
        </w:rPr>
        <w:t>Were you surprised to learn that many people knew of and used (at least one version of) the Pythagorean Theorem</w:t>
      </w:r>
      <w:r>
        <w:rPr>
          <w:rStyle w:val="None"/>
          <w:b w:val="1"/>
          <w:bCs w:val="1"/>
          <w:i w:val="1"/>
          <w:iCs w:val="1"/>
          <w:sz w:val="22"/>
          <w:szCs w:val="22"/>
          <w:u w:val="single"/>
          <w:rtl w:val="0"/>
          <w:lang w:val="en-US"/>
        </w:rPr>
        <w:t xml:space="preserve"> </w:t>
      </w:r>
      <w:r>
        <w:rPr>
          <w:rStyle w:val="None"/>
          <w:sz w:val="22"/>
          <w:szCs w:val="22"/>
          <w:rtl w:val="0"/>
          <w:lang w:val="en-US"/>
        </w:rPr>
        <w:t>prior to Pythagoras?  Then why has history named the theorem after Pythagoras?</w:t>
      </w:r>
    </w:p>
    <w:p>
      <w:pPr>
        <w:pStyle w:val="Body A"/>
        <w:rPr>
          <w:rStyle w:val="None"/>
          <w:sz w:val="22"/>
          <w:szCs w:val="22"/>
        </w:rPr>
      </w:pPr>
    </w:p>
    <w:p>
      <w:pPr>
        <w:pStyle w:val="List Paragraph"/>
        <w:numPr>
          <w:ilvl w:val="0"/>
          <w:numId w:val="2"/>
        </w:numPr>
        <w:bidi w:val="0"/>
        <w:ind w:right="0"/>
        <w:jc w:val="left"/>
        <w:rPr>
          <w:sz w:val="22"/>
          <w:szCs w:val="22"/>
          <w:rtl w:val="0"/>
          <w:lang w:val="en-US"/>
        </w:rPr>
      </w:pPr>
      <w:r>
        <w:rPr>
          <w:rStyle w:val="None"/>
          <w:sz w:val="22"/>
          <w:szCs w:val="22"/>
          <w:rtl w:val="0"/>
          <w:lang w:val="en-US"/>
        </w:rPr>
        <w:t>In the two BLOSSOMS videos, what was the most surprising application of the Pythagorean Theorem, from your point of view?  Why?</w:t>
      </w:r>
    </w:p>
    <w:p>
      <w:pPr>
        <w:pStyle w:val="Body A"/>
        <w:rPr>
          <w:rStyle w:val="None"/>
          <w:sz w:val="22"/>
          <w:szCs w:val="22"/>
        </w:rPr>
      </w:pPr>
    </w:p>
    <w:p>
      <w:pPr>
        <w:pStyle w:val="List Paragraph"/>
        <w:numPr>
          <w:ilvl w:val="0"/>
          <w:numId w:val="2"/>
        </w:numPr>
        <w:bidi w:val="0"/>
        <w:ind w:right="0"/>
        <w:jc w:val="left"/>
        <w:rPr>
          <w:sz w:val="22"/>
          <w:szCs w:val="22"/>
          <w:rtl w:val="0"/>
          <w:lang w:val="en-US"/>
        </w:rPr>
      </w:pPr>
      <w:r>
        <w:rPr>
          <w:rStyle w:val="None"/>
          <w:sz w:val="22"/>
          <w:szCs w:val="22"/>
          <w:rtl w:val="0"/>
          <w:lang w:val="en-US"/>
        </w:rPr>
        <w:t>Did you know that nearly all major mathematical formulas, algorithms and techniques were first devised not by mathematicians but by people who needed to solve a real, given problem?  Can you name another mathematical result that was devised to solve a real problem?  And briefly describe an illustration of its application?</w:t>
      </w:r>
    </w:p>
    <w:p>
      <w:pPr>
        <w:pStyle w:val="Body A"/>
        <w:rPr>
          <w:rStyle w:val="None"/>
          <w:sz w:val="22"/>
          <w:szCs w:val="22"/>
        </w:rPr>
      </w:pPr>
    </w:p>
    <w:p>
      <w:pPr>
        <w:pStyle w:val="List Paragraph"/>
        <w:numPr>
          <w:ilvl w:val="0"/>
          <w:numId w:val="2"/>
        </w:numPr>
        <w:bidi w:val="0"/>
        <w:ind w:right="0"/>
        <w:jc w:val="left"/>
        <w:rPr>
          <w:b w:val="1"/>
          <w:bCs w:val="1"/>
          <w:i w:val="1"/>
          <w:iCs w:val="1"/>
          <w:sz w:val="22"/>
          <w:szCs w:val="22"/>
          <w:rtl w:val="0"/>
          <w:lang w:val="en-US"/>
        </w:rPr>
      </w:pPr>
      <w:r>
        <w:rPr>
          <w:rStyle w:val="None"/>
          <w:b w:val="0"/>
          <w:bCs w:val="0"/>
          <w:i w:val="0"/>
          <w:iCs w:val="0"/>
          <w:sz w:val="22"/>
          <w:szCs w:val="22"/>
          <w:rtl w:val="0"/>
          <w:lang w:val="en-US"/>
        </w:rPr>
        <w:t>Finally, look around your house, around your neighborhood.  Can you briefly describe two applications of the Pythagorean Theorem that would apply to your house and/or neighborhood?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wp:inline distT="0" distB="0" distL="0" distR="0">
          <wp:extent cx="1765936" cy="462506"/>
          <wp:effectExtent l="0" t="0" r="0" b="0"/>
          <wp:docPr id="1073741825" name="officeArt object" descr="mit_blossoms.jpg"/>
          <wp:cNvGraphicFramePr/>
          <a:graphic xmlns:a="http://schemas.openxmlformats.org/drawingml/2006/main">
            <a:graphicData uri="http://schemas.openxmlformats.org/drawingml/2006/picture">
              <pic:pic xmlns:pic="http://schemas.openxmlformats.org/drawingml/2006/picture">
                <pic:nvPicPr>
                  <pic:cNvPr id="1073741825" name="mit_blossoms.jpg" descr="mit_blossoms.jpg"/>
                  <pic:cNvPicPr>
                    <a:picLocks noChangeAspect="1"/>
                  </pic:cNvPicPr>
                </pic:nvPicPr>
                <pic:blipFill>
                  <a:blip r:embed="rId1">
                    <a:extLst/>
                  </a:blip>
                  <a:stretch>
                    <a:fillRect/>
                  </a:stretch>
                </pic:blipFill>
                <pic:spPr>
                  <a:xfrm>
                    <a:off x="0" y="0"/>
                    <a:ext cx="1765936" cy="462506"/>
                  </a:xfrm>
                  <a:prstGeom prst="rect">
                    <a:avLst/>
                  </a:prstGeom>
                  <a:ln w="12700" cap="flat">
                    <a:noFill/>
                    <a:miter lim="400000"/>
                  </a:ln>
                  <a:effectLst/>
                </pic:spPr>
              </pic:pic>
            </a:graphicData>
          </a:graphic>
        </wp:inline>
      </w:drawing>
    </w:r>
    <w:r>
      <w:rPr>
        <w:rtl w:val="0"/>
      </w:rPr>
      <w:tab/>
      <w:t xml:space="preserve">         </w:t>
      <w:tab/>
    </w:r>
    <w:r>
      <w:drawing>
        <wp:inline distT="0" distB="0" distL="0" distR="0">
          <wp:extent cx="1797687" cy="401407"/>
          <wp:effectExtent l="0" t="0" r="0" b="0"/>
          <wp:docPr id="1073741826" name="officeArt object" descr="MIT-logo-with-spelling-office-red-gray-design1.png"/>
          <wp:cNvGraphicFramePr/>
          <a:graphic xmlns:a="http://schemas.openxmlformats.org/drawingml/2006/main">
            <a:graphicData uri="http://schemas.openxmlformats.org/drawingml/2006/picture">
              <pic:pic xmlns:pic="http://schemas.openxmlformats.org/drawingml/2006/picture">
                <pic:nvPicPr>
                  <pic:cNvPr id="1073741826" name="MIT-logo-with-spelling-office-red-gray-design1.png" descr="MIT-logo-with-spelling-office-red-gray-design1.png"/>
                  <pic:cNvPicPr>
                    <a:picLocks noChangeAspect="1"/>
                  </pic:cNvPicPr>
                </pic:nvPicPr>
                <pic:blipFill>
                  <a:blip r:embed="rId2">
                    <a:extLst/>
                  </a:blip>
                  <a:stretch>
                    <a:fillRect/>
                  </a:stretch>
                </pic:blipFill>
                <pic:spPr>
                  <a:xfrm>
                    <a:off x="0" y="0"/>
                    <a:ext cx="1797687" cy="40140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lang w:val="en-US"/>
      <w14:textFill>
        <w14:solidFill>
          <w14:srgbClr w14:val="0563C1"/>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outline w:val="0"/>
      <w:color w:val="487caa"/>
      <w14:textFill>
        <w14:solidFill>
          <w14:srgbClr w14:val="497CAA"/>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outline w:val="0"/>
      <w:color w:val="0563c1"/>
      <w:sz w:val="22"/>
      <w:szCs w:val="22"/>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