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i w:val="1"/>
          <w:iCs w:val="1"/>
          <w:sz w:val="20"/>
          <w:szCs w:val="20"/>
        </w:rPr>
      </w:pPr>
    </w:p>
    <w:tbl>
      <w:tblPr>
        <w:tblW w:w="12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475"/>
        <w:gridCol w:w="6475"/>
      </w:tblGrid>
      <w:tr>
        <w:tblPrEx>
          <w:shd w:val="clear" w:color="auto" w:fill="cdd4e9"/>
        </w:tblPrEx>
        <w:trPr>
          <w:trHeight w:val="27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i w:val="0"/>
                <w:iCs w:val="0"/>
                <w:sz w:val="20"/>
                <w:szCs w:val="20"/>
                <w:shd w:val="nil" w:color="auto" w:fill="auto"/>
                <w:rtl w:val="0"/>
                <w:lang w:val="en-US"/>
              </w:rPr>
              <w:t xml:space="preserve">Target Grade:  </w:t>
            </w:r>
          </w:p>
        </w:tc>
        <w:tc>
          <w:tcPr>
            <w:tcW w:type="dxa" w:w="64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shd w:val="nil" w:color="auto" w:fill="auto"/>
              </w:rPr>
            </w:pPr>
            <w:r>
              <w:rPr>
                <w:rFonts w:ascii="Calibri" w:hAnsi="Calibri"/>
                <w:b w:val="1"/>
                <w:bCs w:val="1"/>
                <w:sz w:val="20"/>
                <w:szCs w:val="20"/>
                <w:shd w:val="nil" w:color="auto" w:fill="auto"/>
                <w:rtl w:val="0"/>
                <w:lang w:val="en-US"/>
              </w:rPr>
              <w:t>Lesson Title:</w:t>
            </w:r>
          </w:p>
          <w:p>
            <w:pPr>
              <w:pStyle w:val="Body"/>
              <w:bidi w:val="0"/>
              <w:ind w:left="0" w:right="0" w:firstLine="0"/>
              <w:jc w:val="left"/>
              <w:rPr>
                <w:rFonts w:ascii="Calibri" w:cs="Calibri" w:hAnsi="Calibri" w:eastAsia="Calibri"/>
                <w:b w:val="1"/>
                <w:bCs w:val="1"/>
                <w:sz w:val="20"/>
                <w:szCs w:val="20"/>
                <w:shd w:val="nil" w:color="auto" w:fill="auto"/>
                <w:rtl w:val="0"/>
              </w:rPr>
            </w:pPr>
            <w:r>
              <w:rPr>
                <w:rFonts w:ascii="Calibri" w:hAnsi="Calibri"/>
                <w:b w:val="1"/>
                <w:bCs w:val="1"/>
                <w:sz w:val="20"/>
                <w:szCs w:val="20"/>
                <w:shd w:val="nil" w:color="auto" w:fill="auto"/>
                <w:rtl w:val="0"/>
                <w:lang w:val="en-US"/>
              </w:rPr>
              <w:t>Developed by:</w:t>
            </w:r>
          </w:p>
          <w:p>
            <w:pPr>
              <w:pStyle w:val="Body"/>
              <w:bidi w:val="0"/>
              <w:ind w:left="0" w:right="0" w:firstLine="0"/>
              <w:jc w:val="left"/>
              <w:rPr>
                <w:rtl w:val="0"/>
              </w:rPr>
            </w:pPr>
            <w:r>
              <w:rPr>
                <w:rFonts w:ascii="Calibri" w:hAnsi="Calibri"/>
                <w:b w:val="1"/>
                <w:bCs w:val="1"/>
                <w:i w:val="0"/>
                <w:iCs w:val="0"/>
                <w:sz w:val="20"/>
                <w:szCs w:val="20"/>
                <w:shd w:val="nil" w:color="auto" w:fill="auto"/>
                <w:rtl w:val="0"/>
                <w:lang w:val="en-US"/>
              </w:rPr>
              <w:t>School:</w:t>
            </w:r>
          </w:p>
        </w:tc>
      </w:tr>
      <w:tr>
        <w:tblPrEx>
          <w:shd w:val="clear" w:color="auto" w:fill="cdd4e9"/>
        </w:tblPrEx>
        <w:trPr>
          <w:trHeight w:val="36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0"/>
                <w:szCs w:val="20"/>
                <w:shd w:val="nil" w:color="auto" w:fill="auto"/>
                <w:rtl w:val="0"/>
                <w:lang w:val="en-US"/>
              </w:rPr>
              <w:t>Course:</w:t>
            </w:r>
          </w:p>
        </w:tc>
        <w:tc>
          <w:tcPr>
            <w:tcW w:type="dxa" w:w="6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131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25" w:lineRule="atLeast"/>
              <w:rPr>
                <w:rFonts w:ascii="Calibri" w:cs="Calibri" w:hAnsi="Calibri" w:eastAsia="Calibri"/>
                <w:i w:val="1"/>
                <w:iCs w:val="1"/>
                <w:outline w:val="0"/>
                <w:color w:val="333333"/>
                <w:sz w:val="20"/>
                <w:szCs w:val="20"/>
                <w:u w:color="333333"/>
                <w:shd w:val="nil" w:color="auto" w:fill="auto"/>
                <w14:textFill>
                  <w14:solidFill>
                    <w14:srgbClr w14:val="333333"/>
                  </w14:solidFill>
                </w14:textFill>
              </w:rPr>
            </w:pPr>
            <w:r>
              <w:rPr>
                <w:rFonts w:ascii="Calibri" w:hAnsi="Calibri"/>
                <w:b w:val="1"/>
                <w:bCs w:val="1"/>
                <w:i w:val="0"/>
                <w:iCs w:val="0"/>
                <w:outline w:val="0"/>
                <w:color w:val="000000"/>
                <w:sz w:val="20"/>
                <w:szCs w:val="20"/>
                <w:u w:color="000000"/>
                <w:shd w:val="nil" w:color="auto" w:fill="auto"/>
                <w:rtl w:val="0"/>
                <w:lang w:val="en-US"/>
                <w14:textFill>
                  <w14:solidFill>
                    <w14:srgbClr w14:val="000000"/>
                  </w14:solidFill>
                </w14:textFill>
              </w:rPr>
              <w:t xml:space="preserve">Performance Expectation(s) (Standard) from State Standards or NGSS: </w:t>
            </w:r>
          </w:p>
          <w:p>
            <w:pPr>
              <w:pStyle w:val="Body"/>
              <w:spacing w:line="225" w:lineRule="atLeast"/>
              <w:rPr>
                <w:rFonts w:ascii="Calibri" w:cs="Calibri" w:hAnsi="Calibri" w:eastAsia="Calibri"/>
                <w:i w:val="1"/>
                <w:iCs w:val="1"/>
                <w:outline w:val="0"/>
                <w:color w:val="333333"/>
                <w:sz w:val="20"/>
                <w:szCs w:val="20"/>
                <w:u w:color="333333"/>
                <w:shd w:val="nil" w:color="auto" w:fill="auto"/>
                <w:lang w:val="en-US"/>
                <w14:textFill>
                  <w14:solidFill>
                    <w14:srgbClr w14:val="333333"/>
                  </w14:solidFill>
                </w14:textFill>
              </w:rPr>
            </w:pPr>
          </w:p>
          <w:p>
            <w:pPr>
              <w:pStyle w:val="Body"/>
              <w:spacing w:line="225" w:lineRule="atLeast"/>
              <w:rPr>
                <w:rFonts w:ascii="Calibri" w:cs="Calibri" w:hAnsi="Calibri" w:eastAsia="Calibri"/>
                <w:i w:val="1"/>
                <w:iCs w:val="1"/>
                <w:outline w:val="0"/>
                <w:color w:val="333333"/>
                <w:sz w:val="20"/>
                <w:szCs w:val="20"/>
                <w:u w:color="333333"/>
                <w:shd w:val="nil" w:color="auto" w:fill="auto"/>
                <w:lang w:val="en-US"/>
                <w14:textFill>
                  <w14:solidFill>
                    <w14:srgbClr w14:val="333333"/>
                  </w14:solidFill>
                </w14:textFill>
              </w:rPr>
            </w:pPr>
          </w:p>
          <w:p>
            <w:pPr>
              <w:pStyle w:val="Body"/>
              <w:spacing w:line="225" w:lineRule="atLeast"/>
            </w:pPr>
            <w:r>
              <w:rPr>
                <w:rFonts w:ascii="Calibri" w:cs="Calibri" w:hAnsi="Calibri" w:eastAsia="Calibri"/>
                <w:i w:val="1"/>
                <w:iCs w:val="1"/>
                <w:outline w:val="0"/>
                <w:color w:val="333333"/>
                <w:sz w:val="20"/>
                <w:szCs w:val="20"/>
                <w:u w:color="333333"/>
                <w:shd w:val="nil" w:color="auto" w:fill="auto"/>
                <w:lang w:val="en-US"/>
                <w14:textFill>
                  <w14:solidFill>
                    <w14:srgbClr w14:val="333333"/>
                  </w14:solidFill>
                </w14:textFill>
              </w:rPr>
            </w:r>
          </w:p>
        </w:tc>
      </w:tr>
      <w:tr>
        <w:tblPrEx>
          <w:shd w:val="clear" w:color="auto" w:fill="cdd4e9"/>
        </w:tblPrEx>
        <w:trPr>
          <w:trHeight w:val="79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shd w:val="nil" w:color="auto" w:fill="auto"/>
              </w:rPr>
            </w:pPr>
            <w:r>
              <w:rPr>
                <w:rFonts w:ascii="Calibri" w:hAnsi="Calibri"/>
                <w:b w:val="1"/>
                <w:bCs w:val="1"/>
                <w:sz w:val="20"/>
                <w:szCs w:val="20"/>
                <w:shd w:val="nil" w:color="auto" w:fill="auto"/>
                <w:rtl w:val="0"/>
                <w:lang w:val="en-US"/>
              </w:rPr>
              <w:t>Lesson Performance Expectations</w:t>
            </w:r>
          </w:p>
          <w:p>
            <w:pPr>
              <w:pStyle w:val="Body"/>
            </w:pPr>
            <w:r>
              <w:rPr>
                <w:rFonts w:ascii="Calibri" w:cs="Calibri" w:hAnsi="Calibri" w:eastAsia="Calibri"/>
                <w:i w:val="1"/>
                <w:iCs w:val="1"/>
                <w:sz w:val="20"/>
                <w:szCs w:val="20"/>
                <w:shd w:val="nil" w:color="auto" w:fill="auto"/>
                <w:lang w:val="en-US"/>
              </w:rPr>
            </w:r>
          </w:p>
        </w:tc>
      </w:tr>
      <w:tr>
        <w:tblPrEx>
          <w:shd w:val="clear" w:color="auto" w:fill="cdd4e9"/>
        </w:tblPrEx>
        <w:trPr>
          <w:trHeight w:val="79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i w:val="1"/>
                <w:iCs w:val="1"/>
                <w:sz w:val="20"/>
                <w:szCs w:val="20"/>
                <w:shd w:val="nil" w:color="auto" w:fill="auto"/>
              </w:rPr>
            </w:pPr>
            <w:r>
              <w:rPr>
                <w:rFonts w:ascii="Calibri" w:hAnsi="Calibri"/>
                <w:b w:val="1"/>
                <w:bCs w:val="1"/>
                <w:i w:val="1"/>
                <w:iCs w:val="1"/>
                <w:sz w:val="20"/>
                <w:szCs w:val="20"/>
                <w:shd w:val="nil" w:color="auto" w:fill="auto"/>
                <w:rtl w:val="0"/>
                <w:lang w:val="en-US"/>
              </w:rPr>
              <w:t>Materials</w:t>
            </w:r>
            <w:r>
              <w:rPr>
                <w:rFonts w:ascii="Calibri" w:hAnsi="Calibri"/>
                <w:b w:val="1"/>
                <w:bCs w:val="1"/>
                <w:i w:val="0"/>
                <w:iCs w:val="0"/>
                <w:sz w:val="20"/>
                <w:szCs w:val="20"/>
                <w:shd w:val="nil" w:color="auto" w:fill="auto"/>
                <w:rtl w:val="0"/>
                <w:lang w:val="en-US"/>
              </w:rPr>
              <w:t>:</w:t>
            </w:r>
            <w:r>
              <w:rPr>
                <w:rFonts w:ascii="Calibri" w:hAnsi="Calibri"/>
                <w:i w:val="0"/>
                <w:iCs w:val="0"/>
                <w:sz w:val="20"/>
                <w:szCs w:val="20"/>
                <w:shd w:val="nil" w:color="auto" w:fill="auto"/>
                <w:rtl w:val="0"/>
                <w:lang w:val="en-US"/>
              </w:rPr>
              <w:t xml:space="preserve"> </w:t>
            </w:r>
          </w:p>
          <w:p>
            <w:pPr>
              <w:pStyle w:val="Body"/>
            </w:pPr>
            <w:r>
              <w:rPr>
                <w:rFonts w:ascii="Calibri" w:cs="Calibri" w:hAnsi="Calibri" w:eastAsia="Calibri"/>
                <w:i w:val="1"/>
                <w:iCs w:val="1"/>
                <w:sz w:val="20"/>
                <w:szCs w:val="20"/>
                <w:shd w:val="nil" w:color="auto" w:fill="auto"/>
                <w:lang w:val="en-US"/>
              </w:rPr>
            </w:r>
          </w:p>
        </w:tc>
      </w:tr>
      <w:tr>
        <w:tblPrEx>
          <w:shd w:val="clear" w:color="auto" w:fill="cdd4e9"/>
        </w:tblPrEx>
        <w:trPr>
          <w:trHeight w:val="79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 xml:space="preserve">Investigative Phenomenon </w:t>
            </w:r>
          </w:p>
          <w:p>
            <w:pPr>
              <w:pStyle w:val="Body"/>
            </w:pPr>
            <w:r>
              <w:rPr>
                <w:rFonts w:ascii="Calibri" w:cs="Calibri" w:hAnsi="Calibri" w:eastAsia="Calibri"/>
                <w:i w:val="1"/>
                <w:iCs w:val="1"/>
                <w:sz w:val="20"/>
                <w:szCs w:val="20"/>
                <w:shd w:val="nil" w:color="auto" w:fill="auto"/>
                <w:lang w:val="en-US"/>
              </w:rPr>
            </w:r>
          </w:p>
        </w:tc>
      </w:tr>
      <w:tr>
        <w:tblPrEx>
          <w:shd w:val="clear" w:color="auto" w:fill="cdd4e9"/>
        </w:tblPrEx>
        <w:trPr>
          <w:trHeight w:val="27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Calibri" w:cs="Calibri" w:hAnsi="Calibri" w:eastAsia="Calibri"/>
                <w:b w:val="1"/>
                <w:bCs w:val="1"/>
                <w:i w:val="1"/>
                <w:iCs w:val="1"/>
                <w:sz w:val="20"/>
                <w:szCs w:val="20"/>
              </w:rPr>
              <w:fldChar w:fldCharType="begin" w:fldLock="0"/>
            </w:r>
            <w:r>
              <w:rPr>
                <w:rStyle w:val="Hyperlink.0"/>
                <w:rFonts w:ascii="Calibri" w:cs="Calibri" w:hAnsi="Calibri" w:eastAsia="Calibri"/>
                <w:b w:val="1"/>
                <w:bCs w:val="1"/>
                <w:i w:val="1"/>
                <w:iCs w:val="1"/>
                <w:sz w:val="20"/>
                <w:szCs w:val="20"/>
              </w:rPr>
              <w:instrText xml:space="preserve"> HYPERLINK \l "bookmark" </w:instrText>
            </w:r>
            <w:r>
              <w:rPr>
                <w:rStyle w:val="Hyperlink.0"/>
                <w:rFonts w:ascii="Calibri" w:cs="Calibri" w:hAnsi="Calibri" w:eastAsia="Calibri"/>
                <w:b w:val="1"/>
                <w:bCs w:val="1"/>
                <w:i w:val="1"/>
                <w:iCs w:val="1"/>
                <w:sz w:val="20"/>
                <w:szCs w:val="20"/>
              </w:rPr>
              <w:fldChar w:fldCharType="separate" w:fldLock="0"/>
            </w:r>
            <w:r>
              <w:rPr>
                <w:rStyle w:val="Hyperlink.0"/>
                <w:rFonts w:ascii="Calibri" w:hAnsi="Calibri"/>
                <w:b w:val="1"/>
                <w:bCs w:val="1"/>
                <w:i w:val="1"/>
                <w:iCs w:val="1"/>
                <w:sz w:val="20"/>
                <w:szCs w:val="20"/>
                <w:rtl w:val="0"/>
                <w:lang w:val="en-US"/>
              </w:rPr>
              <w:t>Gather Phase</w:t>
            </w:r>
            <w:r>
              <w:rPr>
                <w:rFonts w:ascii="Calibri" w:cs="Calibri" w:hAnsi="Calibri" w:eastAsia="Calibri"/>
                <w:b w:val="1"/>
                <w:bCs w:val="1"/>
                <w:i w:val="1"/>
                <w:iCs w:val="1"/>
                <w:sz w:val="20"/>
                <w:szCs w:val="20"/>
              </w:rPr>
              <w:fldChar w:fldCharType="end" w:fldLock="0"/>
            </w:r>
          </w:p>
        </w:tc>
      </w:tr>
      <w:tr>
        <w:tblPrEx>
          <w:shd w:val="clear" w:color="auto" w:fill="cdd4e9"/>
        </w:tblPrEx>
        <w:trPr>
          <w:trHeight w:val="105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What is the Teacher Doing?</w:t>
            </w:r>
          </w:p>
          <w:p>
            <w:pPr>
              <w:pStyle w:val="Body"/>
              <w:rPr>
                <w:rFonts w:ascii="Calibri" w:cs="Calibri" w:hAnsi="Calibri" w:eastAsia="Calibri"/>
                <w:i w:val="1"/>
                <w:iCs w:val="1"/>
                <w:sz w:val="20"/>
                <w:szCs w:val="20"/>
                <w:shd w:val="nil" w:color="auto" w:fill="auto"/>
                <w:lang w:val="en-US"/>
              </w:rPr>
            </w:pPr>
          </w:p>
          <w:p>
            <w:pPr>
              <w:pStyle w:val="Body"/>
            </w:pPr>
            <w:r>
              <w:rPr>
                <w:rFonts w:ascii="Calibri" w:cs="Calibri" w:hAnsi="Calibri" w:eastAsia="Calibri"/>
                <w:i w:val="1"/>
                <w:iCs w:val="1"/>
                <w:sz w:val="20"/>
                <w:szCs w:val="20"/>
                <w:shd w:val="nil" w:color="auto" w:fill="auto"/>
                <w:lang w:val="en-US"/>
              </w:rPr>
            </w:r>
          </w:p>
        </w:tc>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What are the Students Doing?</w:t>
            </w:r>
          </w:p>
          <w:p>
            <w:pPr>
              <w:pStyle w:val="Body"/>
            </w:pPr>
            <w:r>
              <w:rPr>
                <w:rFonts w:ascii="Calibri" w:cs="Calibri" w:hAnsi="Calibri" w:eastAsia="Calibri"/>
                <w:i w:val="1"/>
                <w:iCs w:val="1"/>
                <w:sz w:val="20"/>
                <w:szCs w:val="20"/>
                <w:shd w:val="nil" w:color="auto" w:fill="auto"/>
                <w:lang w:val="en-US"/>
              </w:rPr>
            </w:r>
          </w:p>
        </w:tc>
      </w:tr>
      <w:tr>
        <w:tblPrEx>
          <w:shd w:val="clear" w:color="auto" w:fill="cdd4e9"/>
        </w:tblPrEx>
        <w:trPr>
          <w:trHeight w:val="313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In the Classroom</w:t>
            </w:r>
          </w:p>
          <w:p>
            <w:pPr>
              <w:pStyle w:val="Body"/>
              <w:bidi w:val="0"/>
              <w:ind w:left="0" w:right="0" w:firstLine="0"/>
              <w:jc w:val="left"/>
              <w:rPr>
                <w:rtl w:val="0"/>
              </w:rPr>
            </w:pPr>
            <w:r>
              <w:rPr>
                <w:rFonts w:ascii="Calibri" w:hAnsi="Calibri"/>
                <w:i w:val="1"/>
                <w:iCs w:val="1"/>
                <w:sz w:val="20"/>
                <w:szCs w:val="20"/>
                <w:shd w:val="nil" w:color="auto" w:fill="auto"/>
                <w:rtl w:val="0"/>
                <w:lang w:val="en-US"/>
              </w:rPr>
              <w:t xml:space="preserve">List the </w:t>
            </w:r>
            <w:r>
              <w:rPr>
                <w:rStyle w:val="Hyperlink.1"/>
              </w:rPr>
              <w:fldChar w:fldCharType="begin" w:fldLock="0"/>
            </w:r>
            <w:r>
              <w:rPr>
                <w:rStyle w:val="Hyperlink.1"/>
              </w:rPr>
              <w:instrText xml:space="preserve"> HYPERLINK \l "Practices" </w:instrText>
            </w:r>
            <w:r>
              <w:rPr>
                <w:rStyle w:val="Hyperlink.1"/>
              </w:rPr>
              <w:fldChar w:fldCharType="separate" w:fldLock="0"/>
            </w:r>
            <w:r>
              <w:rPr>
                <w:rStyle w:val="Hyperlink.1"/>
                <w:rtl w:val="0"/>
                <w:lang w:val="en-US"/>
              </w:rPr>
              <w:t>practices</w:t>
            </w:r>
            <w:r>
              <w:rPr/>
              <w:fldChar w:fldCharType="end" w:fldLock="0"/>
            </w:r>
            <w:r>
              <w:rPr>
                <w:rFonts w:ascii="Calibri" w:hAnsi="Calibri"/>
                <w:i w:val="1"/>
                <w:iCs w:val="1"/>
                <w:sz w:val="20"/>
                <w:szCs w:val="20"/>
                <w:shd w:val="nil" w:color="auto" w:fill="auto"/>
                <w:rtl w:val="0"/>
                <w:lang w:val="en-US"/>
              </w:rPr>
              <w:t xml:space="preserve"> that the students will be using in the Gather phase.  </w:t>
            </w:r>
            <w:r>
              <w:rPr>
                <w:shd w:val="nil" w:color="auto" w:fill="auto"/>
              </w:rPr>
            </w:r>
          </w:p>
        </w:tc>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In the Classroom</w:t>
            </w: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r>
      <w:tr>
        <w:tblPrEx>
          <w:shd w:val="clear" w:color="auto" w:fill="cdd4e9"/>
        </w:tblPrEx>
        <w:trPr>
          <w:trHeight w:val="27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Calibri" w:cs="Calibri" w:hAnsi="Calibri" w:eastAsia="Calibri"/>
                <w:b w:val="1"/>
                <w:bCs w:val="1"/>
                <w:i w:val="1"/>
                <w:iCs w:val="1"/>
                <w:sz w:val="20"/>
                <w:szCs w:val="20"/>
              </w:rPr>
              <w:fldChar w:fldCharType="begin" w:fldLock="0"/>
            </w:r>
            <w:r>
              <w:rPr>
                <w:rStyle w:val="Hyperlink.0"/>
                <w:rFonts w:ascii="Calibri" w:cs="Calibri" w:hAnsi="Calibri" w:eastAsia="Calibri"/>
                <w:b w:val="1"/>
                <w:bCs w:val="1"/>
                <w:i w:val="1"/>
                <w:iCs w:val="1"/>
                <w:sz w:val="20"/>
                <w:szCs w:val="20"/>
              </w:rPr>
              <w:instrText xml:space="preserve"> HYPERLINK \l "bookmark1" </w:instrText>
            </w:r>
            <w:r>
              <w:rPr>
                <w:rStyle w:val="Hyperlink.0"/>
                <w:rFonts w:ascii="Calibri" w:cs="Calibri" w:hAnsi="Calibri" w:eastAsia="Calibri"/>
                <w:b w:val="1"/>
                <w:bCs w:val="1"/>
                <w:i w:val="1"/>
                <w:iCs w:val="1"/>
                <w:sz w:val="20"/>
                <w:szCs w:val="20"/>
              </w:rPr>
              <w:fldChar w:fldCharType="separate" w:fldLock="0"/>
            </w:r>
            <w:r>
              <w:rPr>
                <w:rStyle w:val="Hyperlink.0"/>
                <w:rFonts w:ascii="Calibri" w:hAnsi="Calibri"/>
                <w:b w:val="1"/>
                <w:bCs w:val="1"/>
                <w:i w:val="1"/>
                <w:iCs w:val="1"/>
                <w:sz w:val="20"/>
                <w:szCs w:val="20"/>
                <w:rtl w:val="0"/>
                <w:lang w:val="en-US"/>
              </w:rPr>
              <w:t>Reason Phase</w:t>
            </w:r>
            <w:r>
              <w:rPr>
                <w:rFonts w:ascii="Calibri" w:cs="Calibri" w:hAnsi="Calibri" w:eastAsia="Calibri"/>
                <w:b w:val="1"/>
                <w:bCs w:val="1"/>
                <w:i w:val="1"/>
                <w:iCs w:val="1"/>
                <w:sz w:val="20"/>
                <w:szCs w:val="20"/>
              </w:rPr>
              <w:fldChar w:fldCharType="end" w:fldLock="0"/>
            </w:r>
          </w:p>
        </w:tc>
      </w:tr>
      <w:tr>
        <w:tblPrEx>
          <w:shd w:val="clear" w:color="auto" w:fill="cdd4e9"/>
        </w:tblPrEx>
        <w:trPr>
          <w:trHeight w:val="183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In the Classroom</w:t>
            </w: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i w:val="1"/>
                <w:iCs w:val="1"/>
                <w:sz w:val="20"/>
                <w:szCs w:val="20"/>
                <w:shd w:val="nil" w:color="auto" w:fill="auto"/>
                <w:rtl w:val="0"/>
                <w:lang w:val="en-US"/>
              </w:rPr>
              <w:t xml:space="preserve">List the </w:t>
            </w:r>
            <w:r>
              <w:rPr>
                <w:rStyle w:val="Hyperlink.0"/>
                <w:rFonts w:ascii="Calibri" w:cs="Calibri" w:hAnsi="Calibri" w:eastAsia="Calibri"/>
                <w:i w:val="1"/>
                <w:iCs w:val="1"/>
                <w:sz w:val="20"/>
                <w:szCs w:val="20"/>
              </w:rPr>
              <w:fldChar w:fldCharType="begin" w:fldLock="0"/>
            </w:r>
            <w:r>
              <w:rPr>
                <w:rStyle w:val="Hyperlink.0"/>
                <w:rFonts w:ascii="Calibri" w:cs="Calibri" w:hAnsi="Calibri" w:eastAsia="Calibri"/>
                <w:i w:val="1"/>
                <w:iCs w:val="1"/>
                <w:sz w:val="20"/>
                <w:szCs w:val="20"/>
              </w:rPr>
              <w:instrText xml:space="preserve"> HYPERLINK \l "Practices" </w:instrText>
            </w:r>
            <w:r>
              <w:rPr>
                <w:rStyle w:val="Hyperlink.0"/>
                <w:rFonts w:ascii="Calibri" w:cs="Calibri" w:hAnsi="Calibri" w:eastAsia="Calibri"/>
                <w:i w:val="1"/>
                <w:iCs w:val="1"/>
                <w:sz w:val="20"/>
                <w:szCs w:val="20"/>
              </w:rPr>
              <w:fldChar w:fldCharType="separate" w:fldLock="0"/>
            </w:r>
            <w:r>
              <w:rPr>
                <w:rStyle w:val="Hyperlink.0"/>
                <w:rFonts w:ascii="Calibri" w:hAnsi="Calibri"/>
                <w:i w:val="1"/>
                <w:iCs w:val="1"/>
                <w:sz w:val="20"/>
                <w:szCs w:val="20"/>
                <w:rtl w:val="0"/>
                <w:lang w:val="en-US"/>
              </w:rPr>
              <w:t>practices</w:t>
            </w:r>
            <w:r>
              <w:rPr>
                <w:rFonts w:ascii="Calibri" w:cs="Calibri" w:hAnsi="Calibri" w:eastAsia="Calibri"/>
                <w:i w:val="1"/>
                <w:iCs w:val="1"/>
                <w:sz w:val="20"/>
                <w:szCs w:val="20"/>
              </w:rPr>
              <w:fldChar w:fldCharType="end" w:fldLock="0"/>
            </w:r>
            <w:r>
              <w:rPr>
                <w:rFonts w:ascii="Calibri" w:hAnsi="Calibri"/>
                <w:i w:val="1"/>
                <w:iCs w:val="1"/>
                <w:sz w:val="20"/>
                <w:szCs w:val="20"/>
                <w:shd w:val="nil" w:color="auto" w:fill="auto"/>
                <w:rtl w:val="0"/>
                <w:lang w:val="en-US"/>
              </w:rPr>
              <w:t xml:space="preserve"> that the students will be using during the </w:t>
            </w:r>
            <w:r>
              <w:rPr>
                <w:rStyle w:val="Hyperlink.0"/>
                <w:rFonts w:ascii="Calibri" w:cs="Calibri" w:hAnsi="Calibri" w:eastAsia="Calibri"/>
                <w:i w:val="1"/>
                <w:iCs w:val="1"/>
                <w:sz w:val="20"/>
                <w:szCs w:val="20"/>
              </w:rPr>
              <w:fldChar w:fldCharType="begin" w:fldLock="0"/>
            </w:r>
            <w:r>
              <w:rPr>
                <w:rStyle w:val="Hyperlink.0"/>
                <w:rFonts w:ascii="Calibri" w:cs="Calibri" w:hAnsi="Calibri" w:eastAsia="Calibri"/>
                <w:i w:val="1"/>
                <w:iCs w:val="1"/>
                <w:sz w:val="20"/>
                <w:szCs w:val="20"/>
              </w:rPr>
              <w:instrText xml:space="preserve"> HYPERLINK \l "bookmark2" </w:instrText>
            </w:r>
            <w:r>
              <w:rPr>
                <w:rStyle w:val="Hyperlink.0"/>
                <w:rFonts w:ascii="Calibri" w:cs="Calibri" w:hAnsi="Calibri" w:eastAsia="Calibri"/>
                <w:i w:val="1"/>
                <w:iCs w:val="1"/>
                <w:sz w:val="20"/>
                <w:szCs w:val="20"/>
              </w:rPr>
              <w:fldChar w:fldCharType="separate" w:fldLock="0"/>
            </w:r>
            <w:r>
              <w:rPr>
                <w:rStyle w:val="Hyperlink.0"/>
                <w:rFonts w:ascii="Calibri" w:hAnsi="Calibri"/>
                <w:i w:val="1"/>
                <w:iCs w:val="1"/>
                <w:sz w:val="20"/>
                <w:szCs w:val="20"/>
                <w:rtl w:val="0"/>
                <w:lang w:val="en-US"/>
              </w:rPr>
              <w:t>Reason phase</w:t>
            </w:r>
            <w:r>
              <w:rPr>
                <w:rFonts w:ascii="Calibri" w:cs="Calibri" w:hAnsi="Calibri" w:eastAsia="Calibri"/>
                <w:i w:val="1"/>
                <w:iCs w:val="1"/>
                <w:sz w:val="20"/>
                <w:szCs w:val="20"/>
              </w:rPr>
              <w:fldChar w:fldCharType="end" w:fldLock="0"/>
            </w:r>
            <w:r>
              <w:rPr>
                <w:rFonts w:ascii="Calibri" w:hAnsi="Calibri"/>
                <w:i w:val="1"/>
                <w:iCs w:val="1"/>
                <w:sz w:val="20"/>
                <w:szCs w:val="20"/>
                <w:shd w:val="nil" w:color="auto" w:fill="auto"/>
                <w:rtl w:val="0"/>
                <w:lang w:val="en-US"/>
              </w:rPr>
              <w:t xml:space="preserve">.  </w:t>
            </w:r>
          </w:p>
          <w:p>
            <w:pPr>
              <w:pStyle w:val="Body"/>
              <w:rPr>
                <w:rFonts w:ascii="Calibri" w:cs="Calibri" w:hAnsi="Calibri" w:eastAsia="Calibri"/>
                <w:i w:val="1"/>
                <w:iCs w:val="1"/>
                <w:sz w:val="20"/>
                <w:szCs w:val="20"/>
                <w:shd w:val="nil" w:color="auto" w:fill="auto"/>
                <w:lang w:val="en-US"/>
              </w:rPr>
            </w:pPr>
          </w:p>
          <w:p>
            <w:pPr>
              <w:pStyle w:val="Body"/>
              <w:rPr>
                <w:rFonts w:ascii="Calibri" w:cs="Calibri" w:hAnsi="Calibri" w:eastAsia="Calibri"/>
                <w:i w:val="1"/>
                <w:iCs w:val="1"/>
                <w:sz w:val="20"/>
                <w:szCs w:val="20"/>
                <w:shd w:val="nil" w:color="auto" w:fill="auto"/>
                <w:lang w:val="en-US"/>
              </w:rPr>
            </w:pPr>
          </w:p>
          <w:p>
            <w:pPr>
              <w:pStyle w:val="Body"/>
              <w:rPr>
                <w:rFonts w:ascii="Calibri" w:cs="Calibri" w:hAnsi="Calibri" w:eastAsia="Calibri"/>
                <w:i w:val="1"/>
                <w:iCs w:val="1"/>
                <w:sz w:val="20"/>
                <w:szCs w:val="20"/>
                <w:shd w:val="nil" w:color="auto" w:fill="auto"/>
                <w:lang w:val="en-US"/>
              </w:rPr>
            </w:pPr>
          </w:p>
          <w:p>
            <w:pPr>
              <w:pStyle w:val="Body"/>
            </w:pPr>
            <w:r>
              <w:rPr>
                <w:rFonts w:ascii="Calibri" w:cs="Calibri" w:hAnsi="Calibri" w:eastAsia="Calibri"/>
                <w:i w:val="1"/>
                <w:iCs w:val="1"/>
                <w:sz w:val="20"/>
                <w:szCs w:val="20"/>
                <w:shd w:val="nil" w:color="auto" w:fill="auto"/>
                <w:lang w:val="en-US"/>
              </w:rPr>
            </w:r>
          </w:p>
        </w:tc>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i w:val="1"/>
                <w:iCs w:val="1"/>
                <w:sz w:val="20"/>
                <w:szCs w:val="20"/>
                <w:shd w:val="nil" w:color="auto" w:fill="auto"/>
                <w:rtl w:val="0"/>
                <w:lang w:val="en-US"/>
              </w:rPr>
              <w:t>In the Classroom</w:t>
            </w:r>
            <w:r>
              <w:rPr>
                <w:rFonts w:ascii="Calibri" w:cs="Calibri" w:hAnsi="Calibri" w:eastAsia="Calibri"/>
                <w:b w:val="1"/>
                <w:bCs w:val="1"/>
                <w:i w:val="1"/>
                <w:iCs w:val="1"/>
                <w:sz w:val="20"/>
                <w:szCs w:val="20"/>
                <w:shd w:val="nil" w:color="auto" w:fill="auto"/>
              </w:rPr>
            </w:r>
          </w:p>
        </w:tc>
      </w:tr>
      <w:tr>
        <w:tblPrEx>
          <w:shd w:val="clear" w:color="auto" w:fill="cdd4e9"/>
        </w:tblPrEx>
        <w:trPr>
          <w:trHeight w:val="27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Calibri" w:cs="Calibri" w:hAnsi="Calibri" w:eastAsia="Calibri"/>
                <w:b w:val="1"/>
                <w:bCs w:val="1"/>
                <w:i w:val="1"/>
                <w:iCs w:val="1"/>
                <w:sz w:val="20"/>
                <w:szCs w:val="20"/>
              </w:rPr>
              <w:fldChar w:fldCharType="begin" w:fldLock="0"/>
            </w:r>
            <w:r>
              <w:rPr>
                <w:rStyle w:val="Hyperlink.0"/>
                <w:rFonts w:ascii="Calibri" w:cs="Calibri" w:hAnsi="Calibri" w:eastAsia="Calibri"/>
                <w:b w:val="1"/>
                <w:bCs w:val="1"/>
                <w:i w:val="1"/>
                <w:iCs w:val="1"/>
                <w:sz w:val="20"/>
                <w:szCs w:val="20"/>
              </w:rPr>
              <w:instrText xml:space="preserve"> HYPERLINK \l "bookmark3" </w:instrText>
            </w:r>
            <w:r>
              <w:rPr>
                <w:rStyle w:val="Hyperlink.0"/>
                <w:rFonts w:ascii="Calibri" w:cs="Calibri" w:hAnsi="Calibri" w:eastAsia="Calibri"/>
                <w:b w:val="1"/>
                <w:bCs w:val="1"/>
                <w:i w:val="1"/>
                <w:iCs w:val="1"/>
                <w:sz w:val="20"/>
                <w:szCs w:val="20"/>
              </w:rPr>
              <w:fldChar w:fldCharType="separate" w:fldLock="0"/>
            </w:r>
            <w:r>
              <w:rPr>
                <w:rStyle w:val="Hyperlink.0"/>
                <w:rFonts w:ascii="Calibri" w:hAnsi="Calibri"/>
                <w:b w:val="1"/>
                <w:bCs w:val="1"/>
                <w:i w:val="1"/>
                <w:iCs w:val="1"/>
                <w:sz w:val="20"/>
                <w:szCs w:val="20"/>
                <w:rtl w:val="0"/>
                <w:lang w:val="en-US"/>
              </w:rPr>
              <w:t>Communicate Phase</w:t>
            </w:r>
            <w:r>
              <w:rPr>
                <w:rFonts w:ascii="Calibri" w:cs="Calibri" w:hAnsi="Calibri" w:eastAsia="Calibri"/>
                <w:b w:val="1"/>
                <w:bCs w:val="1"/>
                <w:i w:val="1"/>
                <w:iCs w:val="1"/>
                <w:sz w:val="20"/>
                <w:szCs w:val="20"/>
              </w:rPr>
              <w:fldChar w:fldCharType="end" w:fldLock="0"/>
            </w:r>
          </w:p>
        </w:tc>
      </w:tr>
      <w:tr>
        <w:tblPrEx>
          <w:shd w:val="clear" w:color="auto" w:fill="cdd4e9"/>
        </w:tblPrEx>
        <w:trPr>
          <w:trHeight w:val="183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In the Classroom</w:t>
            </w: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i w:val="1"/>
                <w:iCs w:val="1"/>
                <w:sz w:val="20"/>
                <w:szCs w:val="20"/>
                <w:shd w:val="nil" w:color="auto" w:fill="auto"/>
                <w:rtl w:val="0"/>
                <w:lang w:val="en-US"/>
              </w:rPr>
              <w:t xml:space="preserve">List the </w:t>
            </w:r>
            <w:r>
              <w:rPr>
                <w:rStyle w:val="Hyperlink.0"/>
                <w:rFonts w:ascii="Calibri" w:cs="Calibri" w:hAnsi="Calibri" w:eastAsia="Calibri"/>
                <w:i w:val="1"/>
                <w:iCs w:val="1"/>
                <w:sz w:val="20"/>
                <w:szCs w:val="20"/>
              </w:rPr>
              <w:fldChar w:fldCharType="begin" w:fldLock="0"/>
            </w:r>
            <w:r>
              <w:rPr>
                <w:rStyle w:val="Hyperlink.0"/>
                <w:rFonts w:ascii="Calibri" w:cs="Calibri" w:hAnsi="Calibri" w:eastAsia="Calibri"/>
                <w:i w:val="1"/>
                <w:iCs w:val="1"/>
                <w:sz w:val="20"/>
                <w:szCs w:val="20"/>
              </w:rPr>
              <w:instrText xml:space="preserve"> HYPERLINK \l "Practices" </w:instrText>
            </w:r>
            <w:r>
              <w:rPr>
                <w:rStyle w:val="Hyperlink.0"/>
                <w:rFonts w:ascii="Calibri" w:cs="Calibri" w:hAnsi="Calibri" w:eastAsia="Calibri"/>
                <w:i w:val="1"/>
                <w:iCs w:val="1"/>
                <w:sz w:val="20"/>
                <w:szCs w:val="20"/>
              </w:rPr>
              <w:fldChar w:fldCharType="separate" w:fldLock="0"/>
            </w:r>
            <w:r>
              <w:rPr>
                <w:rStyle w:val="Hyperlink.0"/>
                <w:rFonts w:ascii="Calibri" w:hAnsi="Calibri"/>
                <w:i w:val="1"/>
                <w:iCs w:val="1"/>
                <w:sz w:val="20"/>
                <w:szCs w:val="20"/>
                <w:rtl w:val="0"/>
                <w:lang w:val="en-US"/>
              </w:rPr>
              <w:t>practice</w:t>
            </w:r>
            <w:r>
              <w:rPr>
                <w:rFonts w:ascii="Calibri" w:cs="Calibri" w:hAnsi="Calibri" w:eastAsia="Calibri"/>
                <w:i w:val="1"/>
                <w:iCs w:val="1"/>
                <w:sz w:val="20"/>
                <w:szCs w:val="20"/>
              </w:rPr>
              <w:fldChar w:fldCharType="end" w:fldLock="0"/>
            </w:r>
            <w:r>
              <w:rPr>
                <w:rFonts w:ascii="Calibri" w:hAnsi="Calibri"/>
                <w:i w:val="1"/>
                <w:iCs w:val="1"/>
                <w:sz w:val="20"/>
                <w:szCs w:val="20"/>
                <w:shd w:val="nil" w:color="auto" w:fill="auto"/>
                <w:rtl w:val="0"/>
                <w:lang w:val="en-US"/>
              </w:rPr>
              <w:t xml:space="preserve">s that the students will be using during the </w:t>
            </w:r>
            <w:r>
              <w:rPr>
                <w:rStyle w:val="Hyperlink.0"/>
                <w:rFonts w:ascii="Calibri" w:cs="Calibri" w:hAnsi="Calibri" w:eastAsia="Calibri"/>
                <w:i w:val="1"/>
                <w:iCs w:val="1"/>
                <w:sz w:val="20"/>
                <w:szCs w:val="20"/>
              </w:rPr>
              <w:fldChar w:fldCharType="begin" w:fldLock="0"/>
            </w:r>
            <w:r>
              <w:rPr>
                <w:rStyle w:val="Hyperlink.0"/>
                <w:rFonts w:ascii="Calibri" w:cs="Calibri" w:hAnsi="Calibri" w:eastAsia="Calibri"/>
                <w:i w:val="1"/>
                <w:iCs w:val="1"/>
                <w:sz w:val="20"/>
                <w:szCs w:val="20"/>
              </w:rPr>
              <w:instrText xml:space="preserve"> HYPERLINK \l "bookmark4" </w:instrText>
            </w:r>
            <w:r>
              <w:rPr>
                <w:rStyle w:val="Hyperlink.0"/>
                <w:rFonts w:ascii="Calibri" w:cs="Calibri" w:hAnsi="Calibri" w:eastAsia="Calibri"/>
                <w:i w:val="1"/>
                <w:iCs w:val="1"/>
                <w:sz w:val="20"/>
                <w:szCs w:val="20"/>
              </w:rPr>
              <w:fldChar w:fldCharType="separate" w:fldLock="0"/>
            </w:r>
            <w:r>
              <w:rPr>
                <w:rStyle w:val="Hyperlink.0"/>
                <w:rFonts w:ascii="Calibri" w:hAnsi="Calibri"/>
                <w:i w:val="1"/>
                <w:iCs w:val="1"/>
                <w:sz w:val="20"/>
                <w:szCs w:val="20"/>
                <w:rtl w:val="0"/>
                <w:lang w:val="en-US"/>
              </w:rPr>
              <w:t>Communicate phase</w:t>
            </w:r>
            <w:r>
              <w:rPr>
                <w:rFonts w:ascii="Calibri" w:cs="Calibri" w:hAnsi="Calibri" w:eastAsia="Calibri"/>
                <w:i w:val="1"/>
                <w:iCs w:val="1"/>
                <w:sz w:val="20"/>
                <w:szCs w:val="20"/>
              </w:rPr>
              <w:fldChar w:fldCharType="end" w:fldLock="0"/>
            </w:r>
            <w:r>
              <w:rPr>
                <w:rFonts w:ascii="Calibri" w:hAnsi="Calibri"/>
                <w:i w:val="1"/>
                <w:iCs w:val="1"/>
                <w:sz w:val="20"/>
                <w:szCs w:val="20"/>
                <w:shd w:val="nil" w:color="auto" w:fill="auto"/>
                <w:rtl w:val="0"/>
                <w:lang w:val="en-US"/>
              </w:rPr>
              <w:t xml:space="preserve">.  Use the following </w:t>
            </w:r>
          </w:p>
          <w:p>
            <w:pPr>
              <w:pStyle w:val="Body"/>
              <w:rPr>
                <w:rFonts w:ascii="Calibri" w:cs="Calibri" w:hAnsi="Calibri" w:eastAsia="Calibri"/>
                <w:i w:val="1"/>
                <w:iCs w:val="1"/>
                <w:sz w:val="20"/>
                <w:szCs w:val="20"/>
                <w:shd w:val="nil" w:color="auto" w:fill="auto"/>
                <w:lang w:val="en-US"/>
              </w:rPr>
            </w:pPr>
          </w:p>
          <w:p>
            <w:pPr>
              <w:pStyle w:val="Body"/>
              <w:rPr>
                <w:rFonts w:ascii="Calibri" w:cs="Calibri" w:hAnsi="Calibri" w:eastAsia="Calibri"/>
                <w:i w:val="1"/>
                <w:iCs w:val="1"/>
                <w:sz w:val="20"/>
                <w:szCs w:val="20"/>
                <w:shd w:val="nil" w:color="auto" w:fill="auto"/>
                <w:lang w:val="en-US"/>
              </w:rPr>
            </w:pPr>
          </w:p>
          <w:p>
            <w:pPr>
              <w:pStyle w:val="Body"/>
            </w:pPr>
            <w:r>
              <w:rPr>
                <w:rFonts w:ascii="Calibri" w:cs="Calibri" w:hAnsi="Calibri" w:eastAsia="Calibri"/>
                <w:i w:val="1"/>
                <w:iCs w:val="1"/>
                <w:sz w:val="20"/>
                <w:szCs w:val="20"/>
                <w:shd w:val="nil" w:color="auto" w:fill="auto"/>
                <w:lang w:val="en-US"/>
              </w:rPr>
            </w:r>
          </w:p>
        </w:tc>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i w:val="1"/>
                <w:iCs w:val="1"/>
                <w:sz w:val="20"/>
                <w:szCs w:val="20"/>
                <w:shd w:val="nil" w:color="auto" w:fill="auto"/>
                <w:rtl w:val="0"/>
                <w:lang w:val="en-US"/>
              </w:rPr>
              <w:t>In the Classroom</w:t>
            </w:r>
            <w:r>
              <w:rPr>
                <w:rFonts w:ascii="Calibri" w:cs="Calibri" w:hAnsi="Calibri" w:eastAsia="Calibri"/>
                <w:b w:val="1"/>
                <w:bCs w:val="1"/>
                <w:i w:val="1"/>
                <w:iCs w:val="1"/>
                <w:sz w:val="20"/>
                <w:szCs w:val="20"/>
                <w:shd w:val="nil" w:color="auto" w:fill="auto"/>
              </w:rPr>
            </w:r>
          </w:p>
        </w:tc>
      </w:tr>
      <w:tr>
        <w:tblPrEx>
          <w:shd w:val="clear" w:color="auto" w:fill="cdd4e9"/>
        </w:tblPrEx>
        <w:trPr>
          <w:trHeight w:val="131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Suggested Prompts Using Crosscutting Concepts to Structure Student Thinking:</w:t>
            </w:r>
          </w:p>
          <w:p>
            <w:pPr>
              <w:pStyle w:val="Body"/>
              <w:rPr>
                <w:rFonts w:ascii="Calibri" w:cs="Calibri" w:hAnsi="Calibri" w:eastAsia="Calibri"/>
                <w:b w:val="1"/>
                <w:bCs w:val="1"/>
                <w:i w:val="1"/>
                <w:iCs w:val="1"/>
                <w:sz w:val="20"/>
                <w:szCs w:val="20"/>
                <w:shd w:val="nil" w:color="auto" w:fill="auto"/>
                <w:lang w:val="en-US"/>
              </w:rPr>
            </w:pPr>
          </w:p>
          <w:p>
            <w:pPr>
              <w:pStyle w:val="Body"/>
              <w:rPr>
                <w:rFonts w:ascii="Calibri" w:cs="Calibri" w:hAnsi="Calibri" w:eastAsia="Calibri"/>
                <w:b w:val="1"/>
                <w:bCs w:val="1"/>
                <w:i w:val="1"/>
                <w:iCs w:val="1"/>
                <w:sz w:val="20"/>
                <w:szCs w:val="20"/>
                <w:shd w:val="nil" w:color="auto" w:fill="auto"/>
                <w:lang w:val="en-US"/>
              </w:rPr>
            </w:pPr>
          </w:p>
          <w:p>
            <w:pPr>
              <w:pStyle w:val="Body"/>
            </w:pPr>
            <w:r>
              <w:rPr>
                <w:rFonts w:ascii="Calibri" w:cs="Calibri" w:hAnsi="Calibri" w:eastAsia="Calibri"/>
                <w:b w:val="1"/>
                <w:bCs w:val="1"/>
                <w:i w:val="1"/>
                <w:iCs w:val="1"/>
                <w:sz w:val="20"/>
                <w:szCs w:val="20"/>
                <w:shd w:val="nil" w:color="auto" w:fill="auto"/>
                <w:lang w:val="en-US"/>
              </w:rPr>
            </w:r>
          </w:p>
        </w:tc>
      </w:tr>
      <w:tr>
        <w:tblPrEx>
          <w:shd w:val="clear" w:color="auto" w:fill="cdd4e9"/>
        </w:tblPrEx>
        <w:trPr>
          <w:trHeight w:val="131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Assessment of Student Learning</w:t>
            </w:r>
          </w:p>
          <w:p>
            <w:pPr>
              <w:pStyle w:val="Body"/>
              <w:rPr>
                <w:rFonts w:ascii="Calibri" w:cs="Calibri" w:hAnsi="Calibri" w:eastAsia="Calibri"/>
                <w:i w:val="1"/>
                <w:iCs w:val="1"/>
                <w:sz w:val="20"/>
                <w:szCs w:val="20"/>
                <w:shd w:val="nil" w:color="auto" w:fill="auto"/>
                <w:lang w:val="en-US"/>
              </w:rPr>
            </w:pPr>
          </w:p>
          <w:p>
            <w:pPr>
              <w:pStyle w:val="Body"/>
              <w:rPr>
                <w:rFonts w:ascii="Calibri" w:cs="Calibri" w:hAnsi="Calibri" w:eastAsia="Calibri"/>
                <w:b w:val="1"/>
                <w:bCs w:val="1"/>
                <w:i w:val="1"/>
                <w:iCs w:val="1"/>
                <w:sz w:val="20"/>
                <w:szCs w:val="20"/>
                <w:shd w:val="nil" w:color="auto" w:fill="auto"/>
                <w:lang w:val="en-US"/>
              </w:rPr>
            </w:pPr>
          </w:p>
          <w:p>
            <w:pPr>
              <w:pStyle w:val="Body"/>
            </w:pPr>
            <w:r>
              <w:rPr>
                <w:rFonts w:ascii="Calibri" w:cs="Calibri" w:hAnsi="Calibri" w:eastAsia="Calibri"/>
                <w:b w:val="1"/>
                <w:bCs w:val="1"/>
                <w:i w:val="1"/>
                <w:iCs w:val="1"/>
                <w:sz w:val="20"/>
                <w:szCs w:val="20"/>
                <w:shd w:val="nil" w:color="auto" w:fill="auto"/>
                <w:lang w:val="en-US"/>
              </w:rPr>
            </w:r>
          </w:p>
        </w:tc>
      </w:tr>
    </w:tbl>
    <w:p>
      <w:pPr>
        <w:pStyle w:val="Body"/>
        <w:widowControl w:val="0"/>
        <w:rPr>
          <w:rFonts w:ascii="Calibri" w:cs="Calibri" w:hAnsi="Calibri" w:eastAsia="Calibri"/>
          <w:b w:val="1"/>
          <w:bCs w:val="1"/>
          <w:i w:val="1"/>
          <w:iCs w:val="1"/>
          <w:sz w:val="20"/>
          <w:szCs w:val="20"/>
        </w:rPr>
      </w:pPr>
    </w:p>
    <w:p>
      <w:pPr>
        <w:pStyle w:val="Body"/>
      </w:pPr>
    </w:p>
    <w:p>
      <w:pPr>
        <w:pStyle w:val="Body"/>
      </w:pPr>
      <w:r>
        <w:rPr>
          <w:rStyle w:val="page number"/>
          <w:rFonts w:ascii="Arial Unicode MS" w:cs="Arial Unicode MS" w:hAnsi="Arial Unicode MS" w:eastAsia="Arial Unicode MS"/>
          <w:b w:val="0"/>
          <w:bCs w:val="0"/>
          <w:i w:val="0"/>
          <w:iCs w:val="0"/>
        </w:rPr>
        <w:br w:type="page"/>
      </w:r>
    </w:p>
    <w:p>
      <w:pPr>
        <w:pStyle w:val="Body"/>
      </w:pPr>
    </w:p>
    <w:p>
      <w:pPr>
        <w:pStyle w:val="Body"/>
        <w:rPr>
          <w:outline w:val="0"/>
          <w:color w:val="000000"/>
          <w:u w:color="000000"/>
          <w14:textFill>
            <w14:solidFill>
              <w14:srgbClr w14:val="000000"/>
            </w14:solidFill>
          </w14:textFill>
        </w:rPr>
      </w:pPr>
      <w:r>
        <w:rPr>
          <w:rFonts w:ascii="Trebuchet MS" w:hAnsi="Trebuchet MS"/>
          <w:b w:val="1"/>
          <w:bCs w:val="1"/>
          <w:outline w:val="0"/>
          <w:color w:val="000000"/>
          <w:sz w:val="20"/>
          <w:szCs w:val="20"/>
          <w:u w:color="000000"/>
          <w:rtl w:val="0"/>
          <w:lang w:val="en-US"/>
          <w14:textFill>
            <w14:solidFill>
              <w14:srgbClr w14:val="000000"/>
            </w14:solidFill>
          </w14:textFill>
        </w:rPr>
        <w:t>The Gather, Reason, and Communicate Performance Sequence (Moulding &amp; Bybee, 2017)</w:t>
      </w:r>
    </w:p>
    <w:tbl>
      <w:tblPr>
        <w:tblW w:w="13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79"/>
        <w:gridCol w:w="11681"/>
      </w:tblGrid>
      <w:tr>
        <w:tblPrEx>
          <w:shd w:val="clear" w:color="auto" w:fill="cdd4e9"/>
        </w:tblPrEx>
        <w:trPr>
          <w:trHeight w:val="1120" w:hRule="atLeast"/>
        </w:trPr>
        <w:tc>
          <w:tcPr>
            <w:tcW w:type="dxa" w:w="14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jc w:val="center"/>
            </w:pPr>
            <w:r>
              <w:rPr>
                <w:rFonts w:ascii="Trebuchet MS" w:hAnsi="Trebuchet MS"/>
                <w:b w:val="1"/>
                <w:bCs w:val="1"/>
                <w:sz w:val="20"/>
                <w:szCs w:val="20"/>
                <w:shd w:val="nil" w:color="auto" w:fill="auto"/>
                <w:rtl w:val="0"/>
                <w:lang w:val="en-US"/>
              </w:rPr>
              <w:t>Gather</w:t>
            </w:r>
          </w:p>
        </w:tc>
        <w:tc>
          <w:tcPr>
            <w:tcW w:type="dxa" w:w="11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Students are provided with a relevant phenomenon or problem that acts as the launching point for them to (1) obtain information by asking questions and defining problems for causes of the phenomenon within and among systems; (2) investigate the interactions of components of systems to determine the changes in terms of flow of energy and cycling of matter; and (3) determine the proportion of components in systems and interactions/feedback among systems.</w:t>
            </w:r>
            <w:r>
              <w:rPr>
                <w:rFonts w:ascii="Trebuchet MS" w:hAnsi="Trebuchet MS" w:hint="default"/>
                <w:sz w:val="20"/>
                <w:szCs w:val="20"/>
                <w:shd w:val="nil" w:color="auto" w:fill="auto"/>
                <w:rtl w:val="0"/>
                <w:lang w:val="en-US"/>
              </w:rPr>
              <w:t xml:space="preserve">  </w:t>
            </w:r>
            <w:r>
              <w:rPr>
                <w:rFonts w:ascii="Trebuchet MS" w:hAnsi="Trebuchet MS"/>
                <w:sz w:val="20"/>
                <w:szCs w:val="20"/>
                <w:shd w:val="nil" w:color="auto" w:fill="auto"/>
                <w:rtl w:val="0"/>
                <w:lang w:val="en-US"/>
              </w:rPr>
              <w:t>Gathering may include reading, listening, investigating, and using models.</w:t>
            </w:r>
          </w:p>
        </w:tc>
      </w:tr>
      <w:tr>
        <w:tblPrEx>
          <w:shd w:val="clear" w:color="auto" w:fill="cdd4e9"/>
        </w:tblPrEx>
        <w:trPr>
          <w:trHeight w:val="1120" w:hRule="atLeast"/>
        </w:trPr>
        <w:tc>
          <w:tcPr>
            <w:tcW w:type="dxa" w:w="14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rFonts w:ascii="Trebuchet MS" w:hAnsi="Trebuchet MS"/>
                <w:b w:val="1"/>
                <w:bCs w:val="1"/>
                <w:sz w:val="20"/>
                <w:szCs w:val="20"/>
                <w:shd w:val="nil" w:color="auto" w:fill="auto"/>
                <w:rtl w:val="0"/>
                <w:lang w:val="en-US"/>
              </w:rPr>
              <w:t>Reason</w:t>
            </w:r>
          </w:p>
        </w:tc>
        <w:tc>
          <w:tcPr>
            <w:tcW w:type="dxa" w:w="11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Students use information they gathered to make sense of phenomena.</w:t>
            </w:r>
            <w:r>
              <w:rPr>
                <w:rFonts w:ascii="Trebuchet MS" w:hAnsi="Trebuchet MS" w:hint="default"/>
                <w:sz w:val="20"/>
                <w:szCs w:val="20"/>
                <w:shd w:val="nil" w:color="auto" w:fill="auto"/>
                <w:rtl w:val="0"/>
                <w:lang w:val="en-US"/>
              </w:rPr>
              <w:t xml:space="preserve">  </w:t>
            </w:r>
            <w:r>
              <w:rPr>
                <w:rFonts w:ascii="Trebuchet MS" w:hAnsi="Trebuchet MS"/>
                <w:sz w:val="20"/>
                <w:szCs w:val="20"/>
                <w:shd w:val="nil" w:color="auto" w:fill="auto"/>
                <w:rtl w:val="0"/>
                <w:lang w:val="en-US"/>
              </w:rPr>
              <w:t>Reasoning includes analyzing data and information, constructing explanations for the causes(s)of the phenomenon, engineering solutions to problems, and developing arguments for how the evidence supports or refutes explanations or solutions.</w:t>
            </w:r>
            <w:r>
              <w:rPr>
                <w:rFonts w:ascii="Trebuchet MS" w:hAnsi="Trebuchet MS" w:hint="default"/>
                <w:sz w:val="20"/>
                <w:szCs w:val="20"/>
                <w:shd w:val="nil" w:color="auto" w:fill="auto"/>
                <w:rtl w:val="0"/>
                <w:lang w:val="en-US"/>
              </w:rPr>
              <w:t xml:space="preserve">  </w:t>
            </w:r>
            <w:r>
              <w:rPr>
                <w:rFonts w:ascii="Trebuchet MS" w:hAnsi="Trebuchet MS"/>
                <w:sz w:val="20"/>
                <w:szCs w:val="20"/>
                <w:shd w:val="nil" w:color="auto" w:fill="auto"/>
                <w:rtl w:val="0"/>
                <w:lang w:val="en-US"/>
              </w:rPr>
              <w:t>Reasoning occurs in our brains, but may utilize models, speaking, and writing to organize the relationship between the causes of phenomena and the evidence supporting the explanations.</w:t>
            </w:r>
            <w:r>
              <w:rPr>
                <w:rFonts w:ascii="Trebuchet MS" w:hAnsi="Trebuchet MS" w:hint="default"/>
                <w:sz w:val="20"/>
                <w:szCs w:val="20"/>
                <w:shd w:val="nil" w:color="auto" w:fill="auto"/>
                <w:rtl w:val="0"/>
                <w:lang w:val="en-US"/>
              </w:rPr>
              <w:t> </w:t>
            </w:r>
          </w:p>
        </w:tc>
      </w:tr>
      <w:tr>
        <w:tblPrEx>
          <w:shd w:val="clear" w:color="auto" w:fill="cdd4e9"/>
        </w:tblPrEx>
        <w:trPr>
          <w:trHeight w:val="460" w:hRule="atLeast"/>
        </w:trPr>
        <w:tc>
          <w:tcPr>
            <w:tcW w:type="dxa" w:w="14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jc w:val="center"/>
            </w:pPr>
            <w:r>
              <w:rPr>
                <w:rFonts w:ascii="Trebuchet MS" w:hAnsi="Trebuchet MS"/>
                <w:b w:val="1"/>
                <w:bCs w:val="1"/>
                <w:sz w:val="20"/>
                <w:szCs w:val="20"/>
                <w:shd w:val="nil" w:color="auto" w:fill="auto"/>
                <w:rtl w:val="0"/>
                <w:lang w:val="en-US"/>
              </w:rPr>
              <w:t>Communicate</w:t>
            </w:r>
          </w:p>
        </w:tc>
        <w:tc>
          <w:tcPr>
            <w:tcW w:type="dxa" w:w="11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Students communicate their reasoning by developing arguments for how evidence supports explanations.</w:t>
            </w:r>
            <w:r>
              <w:rPr>
                <w:rFonts w:ascii="Trebuchet MS" w:hAnsi="Trebuchet MS" w:hint="default"/>
                <w:sz w:val="20"/>
                <w:szCs w:val="20"/>
                <w:shd w:val="nil" w:color="auto" w:fill="auto"/>
                <w:rtl w:val="0"/>
                <w:lang w:val="en-US"/>
              </w:rPr>
              <w:t xml:space="preserve">  </w:t>
            </w:r>
            <w:r>
              <w:rPr>
                <w:rFonts w:ascii="Trebuchet MS" w:hAnsi="Trebuchet MS"/>
                <w:sz w:val="20"/>
                <w:szCs w:val="20"/>
                <w:shd w:val="nil" w:color="auto" w:fill="auto"/>
                <w:rtl w:val="0"/>
                <w:lang w:val="en-US"/>
              </w:rPr>
              <w:t>Communicating includes speaking, writing, and/or models to present explanations and arguments to themselves and others.</w:t>
            </w:r>
          </w:p>
        </w:tc>
      </w:tr>
    </w:tbl>
    <w:p>
      <w:pPr>
        <w:pStyle w:val="Body"/>
        <w:widowControl w:val="0"/>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rFonts w:ascii="Trebuchet MS" w:hAnsi="Trebuchet MS"/>
          <w:outline w:val="0"/>
          <w:color w:val="000000"/>
          <w:sz w:val="20"/>
          <w:szCs w:val="20"/>
          <w:u w:color="000000"/>
          <w:rtl w:val="0"/>
          <w:lang w:val="en-US"/>
          <w14:textFill>
            <w14:solidFill>
              <w14:srgbClr w14:val="000000"/>
            </w14:solidFill>
          </w14:textFill>
        </w:rPr>
        <w:t xml:space="preserve">Moulding, B. &amp; Bybee, R. (2017). </w:t>
      </w:r>
      <w:r>
        <w:rPr>
          <w:rFonts w:ascii="Trebuchet MS" w:hAnsi="Trebuchet MS"/>
          <w:i w:val="1"/>
          <w:iCs w:val="1"/>
          <w:outline w:val="0"/>
          <w:color w:val="000000"/>
          <w:sz w:val="20"/>
          <w:szCs w:val="20"/>
          <w:u w:color="000000"/>
          <w:rtl w:val="0"/>
          <w:lang w:val="en-US"/>
          <w14:textFill>
            <w14:solidFill>
              <w14:srgbClr w14:val="000000"/>
            </w14:solidFill>
          </w14:textFill>
        </w:rPr>
        <w:t>Teaching Science is Phenomenal.</w:t>
      </w:r>
      <w:r>
        <w:rPr>
          <w:rFonts w:ascii="Trebuchet MS" w:hAnsi="Trebuchet MS"/>
          <w:outline w:val="0"/>
          <w:color w:val="000000"/>
          <w:sz w:val="20"/>
          <w:szCs w:val="20"/>
          <w:u w:color="000000"/>
          <w:rtl w:val="0"/>
          <w:lang w:val="en-US"/>
          <w14:textFill>
            <w14:solidFill>
              <w14:srgbClr w14:val="000000"/>
            </w14:solidFill>
          </w14:textFill>
        </w:rPr>
        <w:t xml:space="preserve"> ELM Tree Publishing: Washington, UT. ISBN:978-0-8890674-0-6</w:t>
      </w:r>
    </w:p>
    <w:p>
      <w:pPr>
        <w:pStyle w:val="Body"/>
        <w:spacing w:after="240"/>
        <w:rPr>
          <w:rStyle w:val="page number"/>
        </w:rPr>
      </w:pPr>
    </w:p>
    <w:p>
      <w:pPr>
        <w:pStyle w:val="Body"/>
        <w:spacing w:after="240"/>
        <w:rPr>
          <w:rStyle w:val="page number"/>
        </w:rPr>
      </w:pPr>
    </w:p>
    <w:p>
      <w:pPr>
        <w:pStyle w:val="Body"/>
      </w:pPr>
    </w:p>
    <w:p>
      <w:pPr>
        <w:pStyle w:val="Body"/>
      </w:pPr>
    </w:p>
    <w:p>
      <w:pPr>
        <w:pStyle w:val="Body"/>
      </w:pPr>
      <w:r>
        <w:rPr>
          <w:rStyle w:val="page number"/>
          <w:rFonts w:ascii="Arial Unicode MS" w:cs="Arial Unicode MS" w:hAnsi="Arial Unicode MS" w:eastAsia="Arial Unicode MS"/>
          <w:b w:val="0"/>
          <w:bCs w:val="0"/>
          <w:i w:val="0"/>
          <w:iCs w:val="0"/>
        </w:rPr>
        <w:br w:type="page"/>
      </w:r>
    </w:p>
    <w:p>
      <w:pPr>
        <w:pStyle w:val="Body"/>
      </w:pPr>
    </w:p>
    <w:p>
      <w:pPr>
        <w:pStyle w:val="Body"/>
        <w:rPr>
          <w:rFonts w:ascii="Tw Cen MT" w:cs="Tw Cen MT" w:hAnsi="Tw Cen MT" w:eastAsia="Tw Cen MT"/>
        </w:rPr>
      </w:pPr>
      <w:r>
        <w:rPr>
          <w:rFonts w:ascii="Tw Cen MT" w:hAnsi="Tw Cen MT"/>
          <w:rtl w:val="0"/>
          <w:lang w:val="en-US"/>
        </w:rPr>
        <w:t>Science and Engineering Practices Using the GRC Instructional Sequence</w:t>
      </w:r>
    </w:p>
    <w:p>
      <w:pPr>
        <w:pStyle w:val="Body"/>
      </w:pPr>
      <w:bookmarkStart w:name="Practices" w:id="0"/>
      <w:r>
        <w:rPr>
          <w:rStyle w:val="page number"/>
        </w:rPr>
        <w:drawing xmlns:a="http://schemas.openxmlformats.org/drawingml/2006/main">
          <wp:inline distT="0" distB="0" distL="0" distR="0">
            <wp:extent cx="6849186" cy="4994031"/>
            <wp:effectExtent l="0" t="0" r="0" b="0"/>
            <wp:docPr id="1073741826"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screenshot of a cell phoneDescription automatically generated" descr="A screenshot of a cell phoneDescription automatically generated"/>
                    <pic:cNvPicPr>
                      <a:picLocks noChangeAspect="1"/>
                    </pic:cNvPicPr>
                  </pic:nvPicPr>
                  <pic:blipFill>
                    <a:blip r:embed="rId4">
                      <a:extLst/>
                    </a:blip>
                    <a:stretch>
                      <a:fillRect/>
                    </a:stretch>
                  </pic:blipFill>
                  <pic:spPr>
                    <a:xfrm>
                      <a:off x="0" y="0"/>
                      <a:ext cx="6849186" cy="4994031"/>
                    </a:xfrm>
                    <a:prstGeom prst="rect">
                      <a:avLst/>
                    </a:prstGeom>
                    <a:ln w="12700" cap="flat">
                      <a:noFill/>
                      <a:miter lim="400000"/>
                    </a:ln>
                    <a:effectLst/>
                  </pic:spPr>
                </pic:pic>
              </a:graphicData>
            </a:graphic>
          </wp:inline>
        </w:drawing>
      </w:r>
      <w:bookmarkEnd w:id="0"/>
    </w:p>
    <w:p>
      <w:pPr>
        <w:pStyle w:val="Body"/>
        <w:tabs>
          <w:tab w:val="left" w:pos="7440"/>
        </w:tabs>
      </w:pPr>
      <w:r>
        <w:rPr>
          <w:rStyle w:val="page number"/>
        </w:rPr>
        <w:tab/>
      </w:r>
    </w:p>
    <w:sectPr>
      <w:headerReference w:type="default" r:id="rId5"/>
      <w:footerReference w:type="default" r:id="rId6"/>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w Cen MT">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Tw Cen MT" w:cs="Tw Cen MT" w:hAnsi="Tw Cen MT" w:eastAsia="Tw Cen MT"/>
        <w:sz w:val="20"/>
        <w:szCs w:val="20"/>
      </w:rPr>
    </w:pPr>
    <w:r>
      <w:rPr>
        <w:rFonts w:ascii="Tw Cen MT" w:cs="Tw Cen MT" w:hAnsi="Tw Cen MT" w:eastAsia="Tw Cen MT"/>
        <w:sz w:val="20"/>
        <w:szCs w:val="20"/>
        <w:rtl w:val="0"/>
      </w:rPr>
      <w:fldChar w:fldCharType="begin" w:fldLock="0"/>
    </w:r>
    <w:r>
      <w:rPr>
        <w:rFonts w:ascii="Tw Cen MT" w:cs="Tw Cen MT" w:hAnsi="Tw Cen MT" w:eastAsia="Tw Cen MT"/>
        <w:sz w:val="20"/>
        <w:szCs w:val="20"/>
        <w:rtl w:val="0"/>
      </w:rPr>
      <w:instrText xml:space="preserve"> PAGE </w:instrText>
    </w:r>
    <w:r>
      <w:rPr>
        <w:rFonts w:ascii="Tw Cen MT" w:cs="Tw Cen MT" w:hAnsi="Tw Cen MT" w:eastAsia="Tw Cen MT"/>
        <w:sz w:val="20"/>
        <w:szCs w:val="20"/>
        <w:rtl w:val="0"/>
      </w:rPr>
      <w:fldChar w:fldCharType="separate" w:fldLock="0"/>
    </w:r>
    <w:r>
      <w:rPr>
        <w:rFonts w:ascii="Tw Cen MT" w:cs="Tw Cen MT" w:hAnsi="Tw Cen MT" w:eastAsia="Tw Cen MT"/>
        <w:sz w:val="20"/>
        <w:szCs w:val="20"/>
        <w:rtl w:val="0"/>
      </w:rPr>
      <w:fldChar w:fldCharType="end" w:fldLock="0"/>
    </w:r>
  </w:p>
  <w:p>
    <w:pPr>
      <w:pStyle w:val="footer"/>
      <w:ind w:right="360"/>
      <w:rPr>
        <w:rFonts w:ascii="Tw Cen MT" w:cs="Tw Cen MT" w:hAnsi="Tw Cen MT" w:eastAsia="Tw Cen MT"/>
        <w:sz w:val="20"/>
        <w:szCs w:val="20"/>
      </w:rPr>
    </w:pPr>
    <w:r>
      <w:rPr>
        <w:rFonts w:ascii="Tw Cen MT" w:hAnsi="Tw Cen MT"/>
        <w:sz w:val="20"/>
        <w:szCs w:val="20"/>
        <w:rtl w:val="0"/>
        <w:lang w:val="en-US"/>
      </w:rPr>
      <w:t>BLOSSOMS Lesson Template</w:t>
    </w:r>
  </w:p>
  <w:p>
    <w:pPr>
      <w:pStyle w:val="footer"/>
      <w:ind w:right="360"/>
      <w:rPr>
        <w:rFonts w:ascii="Calibri" w:cs="Calibri" w:hAnsi="Calibri" w:eastAsia="Calibri"/>
      </w:rPr>
    </w:pPr>
    <w:r>
      <w:rPr>
        <w:rFonts w:ascii="Calibri" w:hAnsi="Calibri"/>
        <w:sz w:val="20"/>
        <w:szCs w:val="20"/>
        <w:rtl w:val="0"/>
        <w:lang w:val="en-US"/>
      </w:rPr>
      <w:t xml:space="preserve">Coaching Template </w:t>
    </w:r>
    <w:r>
      <w:rPr>
        <w:rFonts w:ascii="Calibri" w:hAnsi="Calibri" w:hint="default"/>
        <w:sz w:val="20"/>
        <w:szCs w:val="20"/>
        <w:rtl w:val="0"/>
        <w:lang w:val="en-US"/>
      </w:rPr>
      <w:t>©</w:t>
    </w:r>
    <w:r>
      <w:rPr>
        <w:rFonts w:ascii="Calibri" w:hAnsi="Calibri"/>
        <w:sz w:val="20"/>
        <w:szCs w:val="20"/>
        <w:rtl w:val="0"/>
        <w:lang w:val="en-US"/>
      </w:rPr>
      <w:t>Next Gen Education LLC</w:t>
    </w:r>
    <w:r>
      <w:rPr>
        <w:rFonts w:ascii="Calibri" w:cs="Calibri" w:hAnsi="Calibri" w:eastAsia="Calibri"/>
      </w:rPr>
      <w:tab/>
      <w:tab/>
      <w:tab/>
    </w:r>
  </w:p>
  <w:p>
    <w:pPr>
      <w:pStyle w:val="footer"/>
    </w:pPr>
    <w:r>
      <w:rPr>
        <w:rStyle w:val="page number"/>
      </w:rPr>
      <w:tab/>
      <w:tab/>
      <w:tab/>
    </w:r>
  </w:p>
  <w:p>
    <w:pPr>
      <w:pStyle w:val="footer"/>
    </w:pPr>
    <w:r>
      <w:rPr>
        <w:rStyle w:val="page number"/>
        <w:rFonts w:cs="Arial Unicode MS" w:eastAsia="Arial Unicode MS"/>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Calibri" w:hAnsi="Calibri"/>
        <w:b w:val="1"/>
        <w:bCs w:val="1"/>
      </w:rPr>
    </w:pPr>
    <w:r>
      <w:rPr>
        <w:rStyle w:val="page number"/>
      </w:rPr>
      <w:drawing xmlns:a="http://schemas.openxmlformats.org/drawingml/2006/main">
        <wp:inline distT="0" distB="0" distL="0" distR="0">
          <wp:extent cx="2226365" cy="46382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tif"/>
                  <pic:cNvPicPr>
                    <a:picLocks noChangeAspect="1"/>
                  </pic:cNvPicPr>
                </pic:nvPicPr>
                <pic:blipFill>
                  <a:blip r:embed="rId1">
                    <a:extLst/>
                  </a:blip>
                  <a:stretch>
                    <a:fillRect/>
                  </a:stretch>
                </pic:blipFill>
                <pic:spPr>
                  <a:xfrm>
                    <a:off x="0" y="0"/>
                    <a:ext cx="2226365" cy="463826"/>
                  </a:xfrm>
                  <a:prstGeom prst="rect">
                    <a:avLst/>
                  </a:prstGeom>
                  <a:ln w="12700" cap="flat">
                    <a:noFill/>
                    <a:miter lim="400000"/>
                  </a:ln>
                  <a:effectLst/>
                </pic:spPr>
              </pic:pic>
            </a:graphicData>
          </a:graphic>
        </wp:inline>
      </w:drawing>
    </w:r>
  </w:p>
  <w:p>
    <w:pPr>
      <w:pStyle w:val="header"/>
      <w:jc w:val="center"/>
    </w:pPr>
    <w:r>
      <w:rPr>
        <w:rFonts w:ascii="Calibri" w:hAnsi="Calibri"/>
        <w:b w:val="1"/>
        <w:bCs w:val="1"/>
        <w:rtl w:val="0"/>
        <w:lang w:val="en-US"/>
      </w:rPr>
      <w:t xml:space="preserve">Gather </w:t>
    </w:r>
    <w:r>
      <w:rPr>
        <w:rFonts w:ascii="Calibri" w:hAnsi="Calibri" w:hint="default"/>
        <w:b w:val="1"/>
        <w:bCs w:val="1"/>
        <w:rtl w:val="0"/>
        <w:lang w:val="en-US"/>
      </w:rPr>
      <w:t xml:space="preserve">– </w:t>
    </w:r>
    <w:r>
      <w:rPr>
        <w:rFonts w:ascii="Calibri" w:hAnsi="Calibri"/>
        <w:b w:val="1"/>
        <w:bCs w:val="1"/>
        <w:rtl w:val="0"/>
        <w:lang w:val="en-US"/>
      </w:rPr>
      <w:t xml:space="preserve">Reason </w:t>
    </w:r>
    <w:r>
      <w:rPr>
        <w:rFonts w:ascii="Calibri" w:hAnsi="Calibri" w:hint="default"/>
        <w:b w:val="1"/>
        <w:bCs w:val="1"/>
        <w:rtl w:val="0"/>
        <w:lang w:val="en-US"/>
      </w:rPr>
      <w:t xml:space="preserve">– </w:t>
    </w:r>
    <w:r>
      <w:rPr>
        <w:rFonts w:ascii="Calibri" w:hAnsi="Calibri"/>
        <w:b w:val="1"/>
        <w:bCs w:val="1"/>
        <w:rtl w:val="0"/>
        <w:lang w:val="en-US"/>
      </w:rPr>
      <w:t>Communicate (GRC) LESSON COACHING TEMPLATE -  INSTRUCTIONAL ALIGNMENT TO THREE DIMENSIONS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hd w:val="nil" w:color="auto" w:fill="auto"/>
      <w:lang w:val="en-US"/>
    </w:rPr>
  </w:style>
  <w:style w:type="character" w:styleId="Hyperlink.1">
    <w:name w:val="Hyperlink.1"/>
    <w:basedOn w:val="Link"/>
    <w:next w:val="Hyperlink.1"/>
    <w:rPr>
      <w:rFonts w:ascii="Calibri" w:cs="Calibri" w:hAnsi="Calibri" w:eastAsia="Calibri"/>
      <w:i w:val="1"/>
      <w:iCs w:val="1"/>
      <w:sz w:val="20"/>
      <w:szCs w:val="20"/>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