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A3189A" w14:textId="77777777" w:rsidR="00797B5E" w:rsidRDefault="00797B5E">
      <w:pPr>
        <w:contextualSpacing w:val="0"/>
        <w:rPr>
          <w:b/>
          <w:bCs/>
          <w:sz w:val="28"/>
          <w:szCs w:val="28"/>
        </w:rPr>
      </w:pPr>
    </w:p>
    <w:p w14:paraId="76F3C972" w14:textId="77777777" w:rsidR="00797B5E" w:rsidRDefault="00797B5E">
      <w:pPr>
        <w:contextualSpacing w:val="0"/>
        <w:rPr>
          <w:b/>
          <w:bCs/>
          <w:sz w:val="28"/>
          <w:szCs w:val="28"/>
        </w:rPr>
      </w:pPr>
    </w:p>
    <w:p w14:paraId="7F8740DF" w14:textId="77777777" w:rsidR="006C3EBA" w:rsidRPr="006D7898" w:rsidRDefault="00FF1E56">
      <w:pPr>
        <w:contextualSpacing w:val="0"/>
        <w:rPr>
          <w:b/>
          <w:bCs/>
          <w:sz w:val="28"/>
          <w:szCs w:val="28"/>
        </w:rPr>
      </w:pPr>
      <w:r w:rsidRPr="006D7898">
        <w:rPr>
          <w:b/>
          <w:bCs/>
          <w:sz w:val="28"/>
          <w:szCs w:val="28"/>
        </w:rPr>
        <w:t>Lifecycle Analysis: How Does a Commercial Product Hold Up to the 12 Principles of Green Chemistry?</w:t>
      </w:r>
    </w:p>
    <w:p w14:paraId="73688EC1" w14:textId="77777777" w:rsidR="006D7898" w:rsidRPr="006D7898" w:rsidRDefault="006D7898">
      <w:pPr>
        <w:contextualSpacing w:val="0"/>
        <w:rPr>
          <w:b/>
          <w:bCs/>
          <w:sz w:val="28"/>
          <w:szCs w:val="28"/>
        </w:rPr>
      </w:pPr>
    </w:p>
    <w:p w14:paraId="02D0A107" w14:textId="77777777" w:rsidR="006C3EBA" w:rsidRPr="006D7898" w:rsidRDefault="006C3EBA">
      <w:pPr>
        <w:contextualSpacing w:val="0"/>
        <w:rPr>
          <w:sz w:val="24"/>
          <w:szCs w:val="24"/>
        </w:rPr>
      </w:pPr>
    </w:p>
    <w:p w14:paraId="01842423" w14:textId="77777777" w:rsidR="00797B5E" w:rsidRDefault="00797B5E">
      <w:pPr>
        <w:contextualSpacing w:val="0"/>
        <w:rPr>
          <w:sz w:val="28"/>
          <w:szCs w:val="28"/>
        </w:rPr>
      </w:pPr>
    </w:p>
    <w:p w14:paraId="18BE4051" w14:textId="77777777" w:rsidR="006C3EBA" w:rsidRPr="006D7898" w:rsidRDefault="00FF1E56">
      <w:pPr>
        <w:contextualSpacing w:val="0"/>
        <w:rPr>
          <w:sz w:val="28"/>
          <w:szCs w:val="28"/>
          <w:u w:val="single"/>
        </w:rPr>
      </w:pPr>
      <w:r w:rsidRPr="00797B5E">
        <w:rPr>
          <w:rFonts w:ascii="Arial Bold" w:hAnsi="Arial Bold"/>
          <w:b/>
          <w:bCs/>
          <w:sz w:val="28"/>
          <w:szCs w:val="28"/>
        </w:rPr>
        <w:t>The 12 Principles of Green Chemistry</w:t>
      </w:r>
      <w:r w:rsidRPr="006D7898">
        <w:rPr>
          <w:sz w:val="28"/>
          <w:szCs w:val="28"/>
        </w:rPr>
        <w:t xml:space="preserve"> provide a scaffold for scientists to develop materials that are sustainable. According to the Environmental Protection Agency, “Green chemistry is the design of chemical products and processes that reduce or eliminate the use or generation of hazardous substances. Green chemistry applies across the life cycle of a chemical product, including its design, manufacture, use, and ultimate disposal.” </w:t>
      </w:r>
      <w:hyperlink r:id="rId6">
        <w:r w:rsidRPr="006D7898">
          <w:rPr>
            <w:color w:val="3366FF"/>
            <w:sz w:val="28"/>
            <w:szCs w:val="28"/>
            <w:u w:val="single"/>
          </w:rPr>
          <w:t>https://www.epa.gov/greenchemistry/basics-green-chemistry</w:t>
        </w:r>
      </w:hyperlink>
    </w:p>
    <w:p w14:paraId="3EB3BCF1" w14:textId="77777777" w:rsidR="006D7898" w:rsidRPr="006D7898" w:rsidRDefault="006D7898">
      <w:pPr>
        <w:contextualSpacing w:val="0"/>
        <w:rPr>
          <w:sz w:val="28"/>
          <w:szCs w:val="28"/>
        </w:rPr>
      </w:pPr>
    </w:p>
    <w:p w14:paraId="55B634CD" w14:textId="77777777" w:rsidR="006C3EBA" w:rsidRPr="00797B5E" w:rsidRDefault="006C3EBA">
      <w:pPr>
        <w:contextualSpacing w:val="0"/>
        <w:rPr>
          <w:rFonts w:ascii="Arial Bold" w:hAnsi="Arial Bold"/>
          <w:b/>
          <w:bCs/>
          <w:sz w:val="24"/>
          <w:szCs w:val="24"/>
        </w:rPr>
      </w:pPr>
    </w:p>
    <w:p w14:paraId="4A1470FE" w14:textId="19D33488" w:rsidR="006C3EBA" w:rsidRPr="006D7898" w:rsidRDefault="00FF1E56">
      <w:pPr>
        <w:contextualSpacing w:val="0"/>
        <w:rPr>
          <w:sz w:val="28"/>
          <w:szCs w:val="28"/>
        </w:rPr>
      </w:pPr>
      <w:r w:rsidRPr="00797B5E">
        <w:rPr>
          <w:rFonts w:ascii="Arial Bold" w:hAnsi="Arial Bold"/>
          <w:b/>
          <w:bCs/>
          <w:sz w:val="28"/>
          <w:szCs w:val="28"/>
        </w:rPr>
        <w:t xml:space="preserve">The Green Chemistry </w:t>
      </w:r>
      <w:r w:rsidR="006D7898" w:rsidRPr="00797B5E">
        <w:rPr>
          <w:rFonts w:ascii="Arial Bold" w:hAnsi="Arial Bold"/>
          <w:b/>
          <w:bCs/>
          <w:sz w:val="28"/>
          <w:szCs w:val="28"/>
        </w:rPr>
        <w:t>BLOSSOMS video lesson</w:t>
      </w:r>
      <w:r w:rsidR="006D7898" w:rsidRPr="006D7898">
        <w:rPr>
          <w:sz w:val="28"/>
          <w:szCs w:val="28"/>
        </w:rPr>
        <w:t xml:space="preserve"> introduces</w:t>
      </w:r>
      <w:r w:rsidRPr="006D7898">
        <w:rPr>
          <w:sz w:val="28"/>
          <w:szCs w:val="28"/>
        </w:rPr>
        <w:t xml:space="preserve"> students to the 12 principles. This Project-Based Learning lesson will inspire students to apply the principles with a commercial product lifecycle </w:t>
      </w:r>
      <w:bookmarkStart w:id="0" w:name="_GoBack"/>
      <w:bookmarkEnd w:id="0"/>
      <w:r w:rsidRPr="006D7898">
        <w:rPr>
          <w:sz w:val="28"/>
          <w:szCs w:val="28"/>
        </w:rPr>
        <w:t xml:space="preserve">analysis. </w:t>
      </w:r>
    </w:p>
    <w:p w14:paraId="10645048" w14:textId="77777777" w:rsidR="006D7898" w:rsidRPr="006D7898" w:rsidRDefault="006D7898">
      <w:pPr>
        <w:contextualSpacing w:val="0"/>
        <w:rPr>
          <w:sz w:val="28"/>
          <w:szCs w:val="28"/>
        </w:rPr>
      </w:pPr>
    </w:p>
    <w:p w14:paraId="0D3F95EB" w14:textId="77777777" w:rsidR="006C3EBA" w:rsidRPr="006D7898" w:rsidRDefault="006C3EBA">
      <w:pPr>
        <w:contextualSpacing w:val="0"/>
        <w:rPr>
          <w:sz w:val="24"/>
          <w:szCs w:val="24"/>
        </w:rPr>
      </w:pPr>
    </w:p>
    <w:p w14:paraId="56930B50" w14:textId="77777777" w:rsidR="006D7898" w:rsidRPr="006D7898" w:rsidRDefault="00FF1E56">
      <w:pPr>
        <w:contextualSpacing w:val="0"/>
        <w:rPr>
          <w:b/>
          <w:bCs/>
          <w:sz w:val="28"/>
          <w:szCs w:val="28"/>
        </w:rPr>
      </w:pPr>
      <w:r w:rsidRPr="006D7898">
        <w:rPr>
          <w:b/>
          <w:bCs/>
          <w:sz w:val="28"/>
          <w:szCs w:val="28"/>
        </w:rPr>
        <w:t xml:space="preserve">This PBL has two parts. </w:t>
      </w:r>
    </w:p>
    <w:p w14:paraId="11B11611" w14:textId="77777777" w:rsidR="006D7898" w:rsidRPr="006D7898" w:rsidRDefault="00FF1E56" w:rsidP="006D7898">
      <w:pPr>
        <w:pStyle w:val="ListParagraph"/>
        <w:numPr>
          <w:ilvl w:val="0"/>
          <w:numId w:val="1"/>
        </w:numPr>
        <w:contextualSpacing w:val="0"/>
        <w:rPr>
          <w:sz w:val="28"/>
          <w:szCs w:val="28"/>
        </w:rPr>
      </w:pPr>
      <w:r w:rsidRPr="006D7898">
        <w:rPr>
          <w:b/>
          <w:bCs/>
          <w:sz w:val="28"/>
          <w:szCs w:val="28"/>
        </w:rPr>
        <w:t>Part 1</w:t>
      </w:r>
      <w:r w:rsidRPr="006D7898">
        <w:rPr>
          <w:sz w:val="28"/>
          <w:szCs w:val="28"/>
        </w:rPr>
        <w:t xml:space="preserve"> guides students through lessons in which they learn what a lifecycle analysis is and culminates in their own self-selected lifecycle analysis project.</w:t>
      </w:r>
    </w:p>
    <w:p w14:paraId="5B672373" w14:textId="51A84033" w:rsidR="006C3EBA" w:rsidRPr="006D7898" w:rsidRDefault="00FF1E56" w:rsidP="006D7898">
      <w:pPr>
        <w:pStyle w:val="ListParagraph"/>
        <w:numPr>
          <w:ilvl w:val="0"/>
          <w:numId w:val="1"/>
        </w:numPr>
        <w:contextualSpacing w:val="0"/>
        <w:rPr>
          <w:sz w:val="28"/>
          <w:szCs w:val="28"/>
        </w:rPr>
      </w:pPr>
      <w:r w:rsidRPr="006D7898">
        <w:rPr>
          <w:sz w:val="28"/>
          <w:szCs w:val="28"/>
        </w:rPr>
        <w:t xml:space="preserve"> </w:t>
      </w:r>
      <w:r w:rsidRPr="006D7898">
        <w:rPr>
          <w:b/>
          <w:bCs/>
          <w:sz w:val="28"/>
          <w:szCs w:val="28"/>
        </w:rPr>
        <w:t>Part 2</w:t>
      </w:r>
      <w:r w:rsidRPr="006D7898">
        <w:rPr>
          <w:sz w:val="28"/>
          <w:szCs w:val="28"/>
        </w:rPr>
        <w:t xml:space="preserve"> is a optional extension in which students apply engineering principles to develop and test a sustainable, polystyrene substitute product. </w:t>
      </w:r>
    </w:p>
    <w:p w14:paraId="1EC7CCC5" w14:textId="77777777" w:rsidR="006C3EBA" w:rsidRPr="006D7898" w:rsidRDefault="006C3EBA">
      <w:pPr>
        <w:contextualSpacing w:val="0"/>
      </w:pPr>
    </w:p>
    <w:p w14:paraId="72075ACF" w14:textId="77777777" w:rsidR="006C3EBA" w:rsidRPr="006D7898" w:rsidRDefault="006C3EBA">
      <w:pPr>
        <w:contextualSpacing w:val="0"/>
      </w:pPr>
    </w:p>
    <w:p w14:paraId="1F33AEB6" w14:textId="77777777" w:rsidR="006C3EBA" w:rsidRPr="006D7898" w:rsidRDefault="006C3EBA">
      <w:pPr>
        <w:contextualSpacing w:val="0"/>
      </w:pPr>
    </w:p>
    <w:p w14:paraId="1CC24B2B" w14:textId="77777777" w:rsidR="006C3EBA" w:rsidRPr="006D7898" w:rsidRDefault="006C3EBA">
      <w:pPr>
        <w:contextualSpacing w:val="0"/>
      </w:pPr>
    </w:p>
    <w:p w14:paraId="64CA7C4C" w14:textId="77777777" w:rsidR="006C3EBA" w:rsidRPr="006D7898" w:rsidRDefault="006C3EBA">
      <w:pPr>
        <w:contextualSpacing w:val="0"/>
      </w:pPr>
    </w:p>
    <w:sectPr w:rsidR="006C3EBA" w:rsidRPr="006D7898">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F3F17"/>
    <w:multiLevelType w:val="hybridMultilevel"/>
    <w:tmpl w:val="188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BA"/>
    <w:rsid w:val="006C3EBA"/>
    <w:rsid w:val="006D7898"/>
    <w:rsid w:val="00797B5E"/>
    <w:rsid w:val="00955BA8"/>
    <w:rsid w:val="00FF1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22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6D7898"/>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6D789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epa.gov/greenchemistry/basics-green-chemistr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182</Words>
  <Characters>1043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Liz Murray</cp:lastModifiedBy>
  <cp:revision>5</cp:revision>
  <dcterms:created xsi:type="dcterms:W3CDTF">2019-03-04T14:37:00Z</dcterms:created>
  <dcterms:modified xsi:type="dcterms:W3CDTF">2019-09-02T12:57:00Z</dcterms:modified>
</cp:coreProperties>
</file>