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FBE555" w14:textId="77777777" w:rsidR="007D5007" w:rsidRPr="00497B29" w:rsidRDefault="007D5007" w:rsidP="007D5007">
      <w:pPr>
        <w:rPr>
          <w:rFonts w:ascii="Arial" w:eastAsia="Times New Roman" w:hAnsi="Arial"/>
          <w:b/>
          <w:bCs/>
          <w:szCs w:val="27"/>
        </w:rPr>
      </w:pPr>
      <w:r>
        <w:rPr>
          <w:rFonts w:ascii="Arial" w:eastAsia="Times New Roman" w:hAnsi="Arial"/>
          <w:b/>
          <w:bCs/>
          <w:szCs w:val="27"/>
          <w:u w:val="single"/>
        </w:rPr>
        <w:t>Teacher Notes</w:t>
      </w:r>
      <w:r w:rsidR="0051401D">
        <w:rPr>
          <w:rFonts w:ascii="Arial" w:eastAsia="Times New Roman" w:hAnsi="Arial"/>
          <w:b/>
          <w:bCs/>
          <w:szCs w:val="27"/>
          <w:u w:val="single"/>
        </w:rPr>
        <w:t xml:space="preserve"> for Lesson</w:t>
      </w:r>
      <w:r>
        <w:rPr>
          <w:rFonts w:ascii="Arial" w:eastAsia="Times New Roman" w:hAnsi="Arial"/>
          <w:b/>
          <w:bCs/>
          <w:szCs w:val="27"/>
          <w:u w:val="single"/>
        </w:rPr>
        <w:t xml:space="preserve"> One:</w:t>
      </w:r>
      <w:r>
        <w:rPr>
          <w:rFonts w:ascii="Arial" w:eastAsia="Times New Roman" w:hAnsi="Arial"/>
          <w:b/>
          <w:bCs/>
          <w:szCs w:val="27"/>
        </w:rPr>
        <w:t xml:space="preserve">  </w:t>
      </w:r>
      <w:r w:rsidRPr="00497B29">
        <w:rPr>
          <w:rFonts w:ascii="Arial" w:eastAsia="Times New Roman" w:hAnsi="Arial"/>
          <w:b/>
          <w:bCs/>
          <w:szCs w:val="27"/>
        </w:rPr>
        <w:t>Stocks a</w:t>
      </w:r>
      <w:r>
        <w:rPr>
          <w:rFonts w:ascii="Arial" w:eastAsia="Times New Roman" w:hAnsi="Arial"/>
          <w:b/>
          <w:bCs/>
          <w:szCs w:val="27"/>
        </w:rPr>
        <w:t>nd Flows</w:t>
      </w:r>
      <w:r w:rsidRPr="00497B29">
        <w:rPr>
          <w:rFonts w:ascii="Arial" w:eastAsia="Times New Roman" w:hAnsi="Arial"/>
          <w:b/>
          <w:bCs/>
          <w:szCs w:val="27"/>
        </w:rPr>
        <w:t xml:space="preserve"> </w:t>
      </w:r>
    </w:p>
    <w:p w14:paraId="0799A627" w14:textId="77777777" w:rsidR="007D5007" w:rsidRDefault="007D5007" w:rsidP="007D5007">
      <w:pPr>
        <w:rPr>
          <w:rFonts w:ascii="Arial" w:eastAsia="Times New Roman" w:hAnsi="Arial"/>
          <w:szCs w:val="27"/>
        </w:rPr>
      </w:pPr>
      <w:r w:rsidRPr="00933D6B">
        <w:rPr>
          <w:rFonts w:ascii="Arial" w:eastAsia="Times New Roman" w:hAnsi="Arial"/>
          <w:b/>
          <w:color w:val="403152" w:themeColor="accent4" w:themeShade="80"/>
          <w:szCs w:val="27"/>
        </w:rPr>
        <w:t>Teacher</w:t>
      </w:r>
      <w:r w:rsidRPr="00933D6B">
        <w:rPr>
          <w:rFonts w:ascii="Arial" w:eastAsia="Times New Roman" w:hAnsi="Arial"/>
          <w:color w:val="403152" w:themeColor="accent4" w:themeShade="80"/>
          <w:szCs w:val="27"/>
        </w:rPr>
        <w:t xml:space="preserve">:  </w:t>
      </w:r>
      <w:r w:rsidRPr="00933D6B">
        <w:rPr>
          <w:rFonts w:ascii="Arial" w:eastAsia="Times New Roman" w:hAnsi="Arial"/>
          <w:i/>
          <w:color w:val="403152" w:themeColor="accent4" w:themeShade="80"/>
          <w:szCs w:val="27"/>
        </w:rPr>
        <w:t>Please study this material and then present it to the class in a way that they can interact with you and with each other as the development progresses.</w:t>
      </w:r>
      <w:r>
        <w:rPr>
          <w:rFonts w:ascii="Arial" w:eastAsia="Times New Roman" w:hAnsi="Arial"/>
          <w:i/>
          <w:color w:val="403152" w:themeColor="accent4" w:themeShade="80"/>
          <w:szCs w:val="27"/>
        </w:rPr>
        <w:t xml:space="preserve">  At the end of the week, the students should be excited to apply this knowledge to data from different countries.</w:t>
      </w:r>
      <w:r w:rsidRPr="00933D6B">
        <w:rPr>
          <w:rFonts w:ascii="Arial" w:eastAsia="Times New Roman" w:hAnsi="Arial"/>
          <w:color w:val="403152" w:themeColor="accent4" w:themeShade="80"/>
          <w:szCs w:val="27"/>
        </w:rPr>
        <w:t xml:space="preserve">  </w:t>
      </w:r>
      <w:r>
        <w:rPr>
          <w:rFonts w:ascii="Arial" w:eastAsia="Times New Roman" w:hAnsi="Arial"/>
          <w:szCs w:val="27"/>
        </w:rPr>
        <w:t xml:space="preserve">The concept of accumulation is explained in the first BLOSSOMS Video. Here students should find the main stock variables. This will lead them to build the core of an SIR model. We start simply: </w:t>
      </w:r>
    </w:p>
    <w:p w14:paraId="2C87E975" w14:textId="77777777" w:rsidR="007D5007" w:rsidRDefault="007D5007" w:rsidP="007D5007">
      <w:pPr>
        <w:rPr>
          <w:rFonts w:ascii="Arial" w:eastAsia="Times New Roman" w:hAnsi="Arial"/>
          <w:szCs w:val="27"/>
        </w:rPr>
      </w:pPr>
      <w:r>
        <w:rPr>
          <w:rFonts w:ascii="Arial" w:eastAsia="Times New Roman" w:hAnsi="Arial"/>
          <w:szCs w:val="27"/>
        </w:rPr>
        <w:t>Suppose from January 1</w:t>
      </w:r>
      <w:r w:rsidRPr="000740D9">
        <w:rPr>
          <w:rFonts w:ascii="Arial" w:eastAsia="Times New Roman" w:hAnsi="Arial"/>
          <w:szCs w:val="27"/>
          <w:vertAlign w:val="superscript"/>
        </w:rPr>
        <w:t>st</w:t>
      </w:r>
      <w:r>
        <w:rPr>
          <w:rFonts w:ascii="Arial" w:eastAsia="Times New Roman" w:hAnsi="Arial"/>
          <w:szCs w:val="27"/>
        </w:rPr>
        <w:t>, every day 100 new people get infected with coronavirus, and this continues until the end of the month. Suppose from the 11</w:t>
      </w:r>
      <w:r w:rsidRPr="000740D9">
        <w:rPr>
          <w:rFonts w:ascii="Arial" w:eastAsia="Times New Roman" w:hAnsi="Arial"/>
          <w:szCs w:val="27"/>
          <w:vertAlign w:val="superscript"/>
        </w:rPr>
        <w:t>th</w:t>
      </w:r>
      <w:r>
        <w:rPr>
          <w:rFonts w:ascii="Arial" w:eastAsia="Times New Roman" w:hAnsi="Arial"/>
          <w:szCs w:val="27"/>
        </w:rPr>
        <w:t xml:space="preserve">, every day 50 people recover. If someone asks you at day </w:t>
      </w:r>
      <w:r w:rsidRPr="009C1DED">
        <w:rPr>
          <w:rFonts w:ascii="Arial" w:eastAsia="Times New Roman" w:hAnsi="Arial"/>
          <w:i/>
          <w:szCs w:val="27"/>
        </w:rPr>
        <w:t>t</w:t>
      </w:r>
      <w:r>
        <w:rPr>
          <w:rFonts w:ascii="Arial" w:eastAsia="Times New Roman" w:hAnsi="Arial"/>
          <w:szCs w:val="27"/>
        </w:rPr>
        <w:t xml:space="preserve">, how many people in total have got infected, and how many people have recovered, how would you answer that? </w:t>
      </w:r>
    </w:p>
    <w:tbl>
      <w:tblPr>
        <w:tblStyle w:val="TableGrid"/>
        <w:tblW w:w="0" w:type="auto"/>
        <w:tblLook w:val="04A0" w:firstRow="1" w:lastRow="0" w:firstColumn="1" w:lastColumn="0" w:noHBand="0" w:noVBand="1"/>
      </w:tblPr>
      <w:tblGrid>
        <w:gridCol w:w="4410"/>
        <w:gridCol w:w="4446"/>
      </w:tblGrid>
      <w:tr w:rsidR="007D5007" w14:paraId="5A64C404" w14:textId="77777777" w:rsidTr="00F30119">
        <w:tc>
          <w:tcPr>
            <w:tcW w:w="4566" w:type="dxa"/>
          </w:tcPr>
          <w:p w14:paraId="7513E553" w14:textId="77777777" w:rsidR="007D5007" w:rsidRDefault="007D5007" w:rsidP="00F30119">
            <w:pPr>
              <w:jc w:val="center"/>
              <w:rPr>
                <w:noProof/>
              </w:rPr>
            </w:pPr>
            <w:r>
              <w:rPr>
                <w:noProof/>
              </w:rPr>
              <w:drawing>
                <wp:inline distT="0" distB="0" distL="0" distR="0" wp14:anchorId="54BC8C55" wp14:editId="60607E08">
                  <wp:extent cx="2593023" cy="2087880"/>
                  <wp:effectExtent l="0" t="0" r="17145" b="762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1751875B" w14:textId="77777777" w:rsidR="007D5007" w:rsidRDefault="007D5007" w:rsidP="00F30119">
            <w:pPr>
              <w:jc w:val="center"/>
              <w:rPr>
                <w:rFonts w:ascii="Arial" w:eastAsia="Times New Roman" w:hAnsi="Arial"/>
                <w:szCs w:val="27"/>
              </w:rPr>
            </w:pPr>
            <w:r>
              <w:rPr>
                <w:noProof/>
              </w:rPr>
              <w:t>a</w:t>
            </w:r>
          </w:p>
        </w:tc>
        <w:tc>
          <w:tcPr>
            <w:tcW w:w="4784" w:type="dxa"/>
          </w:tcPr>
          <w:p w14:paraId="2DC27E9C" w14:textId="77777777" w:rsidR="007D5007" w:rsidRDefault="007D5007" w:rsidP="00F30119">
            <w:pPr>
              <w:jc w:val="center"/>
              <w:rPr>
                <w:noProof/>
              </w:rPr>
            </w:pPr>
            <w:r>
              <w:rPr>
                <w:noProof/>
              </w:rPr>
              <w:drawing>
                <wp:inline distT="0" distB="0" distL="0" distR="0" wp14:anchorId="70CFDAFC" wp14:editId="7110ECD4">
                  <wp:extent cx="2556827" cy="2090420"/>
                  <wp:effectExtent l="0" t="0" r="15240" b="508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197FE444" w14:textId="77777777" w:rsidR="007D5007" w:rsidRDefault="007D5007" w:rsidP="00F30119">
            <w:pPr>
              <w:jc w:val="center"/>
              <w:rPr>
                <w:rFonts w:ascii="Arial" w:eastAsia="Times New Roman" w:hAnsi="Arial"/>
                <w:szCs w:val="27"/>
              </w:rPr>
            </w:pPr>
            <w:r>
              <w:rPr>
                <w:noProof/>
              </w:rPr>
              <w:t>b</w:t>
            </w:r>
          </w:p>
        </w:tc>
      </w:tr>
    </w:tbl>
    <w:p w14:paraId="66C0B9F2" w14:textId="77777777" w:rsidR="007D5007" w:rsidRPr="00775C96" w:rsidRDefault="007D5007" w:rsidP="007D5007">
      <w:pPr>
        <w:jc w:val="center"/>
        <w:rPr>
          <w:rFonts w:ascii="Arial" w:eastAsia="Times New Roman" w:hAnsi="Arial"/>
          <w:szCs w:val="27"/>
        </w:rPr>
      </w:pPr>
      <w:r>
        <w:rPr>
          <w:rFonts w:ascii="Arial" w:eastAsia="Times New Roman" w:hAnsi="Arial"/>
          <w:szCs w:val="27"/>
        </w:rPr>
        <w:t xml:space="preserve">Figure 1: A simple example of </w:t>
      </w:r>
      <w:r w:rsidRPr="00775C96">
        <w:rPr>
          <w:rFonts w:ascii="Arial" w:eastAsia="Times New Roman" w:hAnsi="Arial"/>
          <w:szCs w:val="27"/>
        </w:rPr>
        <w:t>stock-flow concepts: (a) flows, (b) stocks</w:t>
      </w:r>
    </w:p>
    <w:p w14:paraId="0AAA79B8" w14:textId="77777777" w:rsidR="007D5007" w:rsidRPr="00775C96" w:rsidRDefault="007D5007" w:rsidP="007D5007">
      <w:pPr>
        <w:rPr>
          <w:rFonts w:ascii="Arial" w:eastAsia="Times New Roman" w:hAnsi="Arial"/>
          <w:szCs w:val="27"/>
        </w:rPr>
      </w:pPr>
      <w:r w:rsidRPr="00775C96">
        <w:rPr>
          <w:rFonts w:ascii="Arial" w:eastAsia="Times New Roman" w:hAnsi="Arial"/>
          <w:szCs w:val="27"/>
        </w:rPr>
        <w:t xml:space="preserve">This is simple: It is about adding of all daily incidents until day </w:t>
      </w:r>
      <w:r w:rsidRPr="00775C96">
        <w:rPr>
          <w:rFonts w:ascii="Arial" w:eastAsia="Times New Roman" w:hAnsi="Arial"/>
          <w:i/>
          <w:szCs w:val="27"/>
        </w:rPr>
        <w:t>t</w:t>
      </w:r>
      <w:r w:rsidRPr="00775C96">
        <w:rPr>
          <w:rFonts w:ascii="Arial" w:eastAsia="Times New Roman" w:hAnsi="Arial"/>
          <w:szCs w:val="27"/>
        </w:rPr>
        <w:t>. So we have</w:t>
      </w:r>
    </w:p>
    <w:p w14:paraId="490C4489" w14:textId="77777777" w:rsidR="007D5007" w:rsidRPr="00775C96" w:rsidRDefault="007D5007" w:rsidP="007D5007">
      <w:pPr>
        <w:pStyle w:val="ListParagraph"/>
        <w:numPr>
          <w:ilvl w:val="0"/>
          <w:numId w:val="1"/>
        </w:numPr>
        <w:rPr>
          <w:rFonts w:ascii="Arial" w:eastAsia="Times New Roman" w:hAnsi="Arial"/>
          <w:szCs w:val="27"/>
        </w:rPr>
      </w:pPr>
      <w:r w:rsidRPr="00775C96">
        <w:rPr>
          <w:rFonts w:ascii="Arial" w:eastAsia="Times New Roman" w:hAnsi="Arial"/>
          <w:szCs w:val="27"/>
        </w:rPr>
        <w:t xml:space="preserve">Cumulative infected at time </w:t>
      </w:r>
      <w:r w:rsidRPr="00775C96">
        <w:rPr>
          <w:rFonts w:ascii="Arial" w:eastAsia="Times New Roman" w:hAnsi="Arial"/>
          <w:i/>
          <w:szCs w:val="27"/>
        </w:rPr>
        <w:t>t</w:t>
      </w:r>
      <w:r w:rsidRPr="00775C96">
        <w:rPr>
          <w:rFonts w:ascii="Arial" w:eastAsia="Times New Roman" w:hAnsi="Arial"/>
          <w:szCs w:val="27"/>
        </w:rPr>
        <w:t xml:space="preserve"> equals 100*</w:t>
      </w:r>
      <w:r w:rsidRPr="00775C96">
        <w:rPr>
          <w:rFonts w:ascii="Arial" w:eastAsia="Times New Roman" w:hAnsi="Arial"/>
          <w:i/>
          <w:szCs w:val="27"/>
        </w:rPr>
        <w:t>t</w:t>
      </w:r>
      <w:r w:rsidRPr="00775C96">
        <w:rPr>
          <w:rFonts w:ascii="Arial" w:eastAsia="Times New Roman" w:hAnsi="Arial"/>
          <w:szCs w:val="27"/>
        </w:rPr>
        <w:t xml:space="preserve">, and </w:t>
      </w:r>
    </w:p>
    <w:p w14:paraId="76AE1A8D" w14:textId="77777777" w:rsidR="007D5007" w:rsidRPr="00775C96" w:rsidRDefault="007D5007" w:rsidP="007D5007">
      <w:pPr>
        <w:pStyle w:val="ListParagraph"/>
        <w:numPr>
          <w:ilvl w:val="0"/>
          <w:numId w:val="1"/>
        </w:numPr>
        <w:rPr>
          <w:rFonts w:ascii="Arial" w:eastAsia="Times New Roman" w:hAnsi="Arial"/>
          <w:szCs w:val="27"/>
        </w:rPr>
      </w:pPr>
      <w:r w:rsidRPr="00775C96">
        <w:rPr>
          <w:rFonts w:ascii="Arial" w:eastAsia="Times New Roman" w:hAnsi="Arial"/>
          <w:szCs w:val="27"/>
        </w:rPr>
        <w:t xml:space="preserve">Cumulative recovered at time </w:t>
      </w:r>
      <w:r w:rsidRPr="00775C96">
        <w:rPr>
          <w:rFonts w:ascii="Arial" w:eastAsia="Times New Roman" w:hAnsi="Arial"/>
          <w:i/>
          <w:szCs w:val="27"/>
        </w:rPr>
        <w:t>t</w:t>
      </w:r>
      <w:r w:rsidRPr="00775C96">
        <w:rPr>
          <w:rFonts w:ascii="Arial" w:eastAsia="Times New Roman" w:hAnsi="Arial"/>
          <w:szCs w:val="27"/>
        </w:rPr>
        <w:t xml:space="preserve"> equals: 0 if </w:t>
      </w:r>
      <w:r w:rsidRPr="00775C96">
        <w:rPr>
          <w:rFonts w:ascii="Arial" w:eastAsia="Times New Roman" w:hAnsi="Arial"/>
          <w:i/>
          <w:szCs w:val="27"/>
        </w:rPr>
        <w:t>t</w:t>
      </w:r>
      <w:r w:rsidRPr="00775C96">
        <w:rPr>
          <w:rFonts w:ascii="Arial" w:eastAsia="Times New Roman" w:hAnsi="Arial" w:cs="Arial"/>
          <w:szCs w:val="27"/>
        </w:rPr>
        <w:t>≤</w:t>
      </w:r>
      <w:r w:rsidRPr="00775C96">
        <w:rPr>
          <w:rFonts w:ascii="Arial" w:eastAsia="Times New Roman" w:hAnsi="Arial"/>
          <w:szCs w:val="27"/>
        </w:rPr>
        <w:t>10, and 50*(</w:t>
      </w:r>
      <w:r w:rsidRPr="00775C96">
        <w:rPr>
          <w:rFonts w:ascii="Arial" w:eastAsia="Times New Roman" w:hAnsi="Arial"/>
          <w:i/>
          <w:szCs w:val="27"/>
        </w:rPr>
        <w:t>t</w:t>
      </w:r>
      <w:r w:rsidRPr="00775C96">
        <w:rPr>
          <w:rFonts w:ascii="Arial" w:eastAsia="Times New Roman" w:hAnsi="Arial"/>
          <w:szCs w:val="27"/>
        </w:rPr>
        <w:t xml:space="preserve">-10) if </w:t>
      </w:r>
      <w:r w:rsidRPr="00775C96">
        <w:rPr>
          <w:rFonts w:ascii="Arial" w:eastAsia="Times New Roman" w:hAnsi="Arial"/>
          <w:i/>
          <w:szCs w:val="27"/>
        </w:rPr>
        <w:t>t</w:t>
      </w:r>
      <w:r w:rsidRPr="00775C96">
        <w:rPr>
          <w:rFonts w:ascii="Arial" w:eastAsia="Times New Roman" w:hAnsi="Arial"/>
          <w:szCs w:val="27"/>
        </w:rPr>
        <w:t>&gt;10.</w:t>
      </w:r>
    </w:p>
    <w:p w14:paraId="103D8AD0" w14:textId="77777777" w:rsidR="007D5007" w:rsidRDefault="007D5007" w:rsidP="007D5007">
      <w:pPr>
        <w:rPr>
          <w:rFonts w:ascii="Arial" w:eastAsia="Times New Roman" w:hAnsi="Arial"/>
          <w:szCs w:val="27"/>
        </w:rPr>
      </w:pPr>
      <w:r w:rsidRPr="00775C96">
        <w:rPr>
          <w:rFonts w:ascii="Arial" w:eastAsia="Times New Roman" w:hAnsi="Arial"/>
          <w:szCs w:val="27"/>
        </w:rPr>
        <w:t>For example, after 20 days we will have cumulative infected of 2,000, and 500 recovered. And both numbers increase over time. Figure 1b shows the graphs for cumulative infected (black line) and recovered (green line) over time.</w:t>
      </w:r>
      <w:r>
        <w:rPr>
          <w:rFonts w:ascii="Arial" w:eastAsia="Times New Roman" w:hAnsi="Arial"/>
          <w:szCs w:val="27"/>
        </w:rPr>
        <w:t xml:space="preserve"> </w:t>
      </w:r>
    </w:p>
    <w:p w14:paraId="2402FD25" w14:textId="77777777" w:rsidR="007D5007" w:rsidRPr="00775C96" w:rsidRDefault="007D5007" w:rsidP="007D5007">
      <w:pPr>
        <w:rPr>
          <w:rFonts w:ascii="Arial" w:eastAsia="Times New Roman" w:hAnsi="Arial"/>
          <w:szCs w:val="27"/>
        </w:rPr>
      </w:pPr>
      <w:r>
        <w:rPr>
          <w:rFonts w:ascii="Arial" w:eastAsia="Times New Roman" w:hAnsi="Arial"/>
          <w:szCs w:val="27"/>
        </w:rPr>
        <w:t>These 2 variables of cumulative infected and recovered are “stocks,” accumulating over time. (</w:t>
      </w:r>
      <w:proofErr w:type="gramStart"/>
      <w:r>
        <w:rPr>
          <w:rFonts w:ascii="Arial" w:eastAsia="Times New Roman" w:hAnsi="Arial"/>
          <w:szCs w:val="27"/>
        </w:rPr>
        <w:t>re</w:t>
      </w:r>
      <w:r w:rsidRPr="00775C96">
        <w:rPr>
          <w:rFonts w:ascii="Arial" w:eastAsia="Times New Roman" w:hAnsi="Arial"/>
          <w:szCs w:val="27"/>
        </w:rPr>
        <w:t>member</w:t>
      </w:r>
      <w:proofErr w:type="gramEnd"/>
      <w:r w:rsidRPr="00775C96">
        <w:rPr>
          <w:rFonts w:ascii="Arial" w:eastAsia="Times New Roman" w:hAnsi="Arial"/>
          <w:szCs w:val="27"/>
        </w:rPr>
        <w:t xml:space="preserve"> the BLOSSOMS video on </w:t>
      </w:r>
      <w:r w:rsidRPr="00775C96">
        <w:rPr>
          <w:rFonts w:ascii="Arial" w:eastAsia="Times New Roman" w:hAnsi="Arial"/>
          <w:b/>
          <w:i/>
          <w:color w:val="000000"/>
          <w:szCs w:val="43"/>
        </w:rPr>
        <w:t>The Surprising World of Complex Systems</w:t>
      </w:r>
      <w:r w:rsidRPr="00775C96">
        <w:rPr>
          <w:rFonts w:ascii="Arial" w:eastAsia="Times New Roman" w:hAnsi="Arial"/>
          <w:szCs w:val="27"/>
        </w:rPr>
        <w:t xml:space="preserve">).   </w:t>
      </w:r>
    </w:p>
    <w:p w14:paraId="21B63508" w14:textId="77777777" w:rsidR="007D5007" w:rsidRPr="00775C96" w:rsidRDefault="007D5007" w:rsidP="007D5007">
      <w:pPr>
        <w:rPr>
          <w:rFonts w:ascii="Arial" w:eastAsia="Times New Roman" w:hAnsi="Arial"/>
          <w:szCs w:val="27"/>
        </w:rPr>
      </w:pPr>
      <w:r w:rsidRPr="00775C96">
        <w:rPr>
          <w:rFonts w:ascii="Arial" w:eastAsia="Times New Roman" w:hAnsi="Arial"/>
          <w:noProof/>
          <w:szCs w:val="27"/>
        </w:rPr>
        <w:lastRenderedPageBreak/>
        <w:drawing>
          <wp:inline distT="0" distB="0" distL="0" distR="0" wp14:anchorId="315A87D0" wp14:editId="791907B5">
            <wp:extent cx="3148543" cy="16668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r="50645" b="49690"/>
                    <a:stretch/>
                  </pic:blipFill>
                  <pic:spPr bwMode="auto">
                    <a:xfrm>
                      <a:off x="0" y="0"/>
                      <a:ext cx="3165733" cy="1675976"/>
                    </a:xfrm>
                    <a:prstGeom prst="rect">
                      <a:avLst/>
                    </a:prstGeom>
                    <a:noFill/>
                    <a:ln>
                      <a:noFill/>
                    </a:ln>
                    <a:extLst>
                      <a:ext uri="{53640926-AAD7-44d8-BBD7-CCE9431645EC}">
                        <a14:shadowObscured xmlns:a14="http://schemas.microsoft.com/office/drawing/2010/main"/>
                      </a:ext>
                    </a:extLst>
                  </pic:spPr>
                </pic:pic>
              </a:graphicData>
            </a:graphic>
          </wp:inline>
        </w:drawing>
      </w:r>
    </w:p>
    <w:p w14:paraId="661D3D69" w14:textId="77777777" w:rsidR="007D5007" w:rsidRPr="00775C96" w:rsidRDefault="007D5007" w:rsidP="007D5007">
      <w:pPr>
        <w:rPr>
          <w:rFonts w:ascii="Arial" w:eastAsia="Times New Roman" w:hAnsi="Arial"/>
          <w:szCs w:val="27"/>
        </w:rPr>
      </w:pPr>
      <w:r w:rsidRPr="00775C96">
        <w:rPr>
          <w:rFonts w:ascii="Arial" w:eastAsia="Times New Roman" w:hAnsi="Arial"/>
          <w:szCs w:val="27"/>
        </w:rPr>
        <w:t xml:space="preserve">“New infection” - the daily number of new infections, is the inflow to “Cumulative infected”; “Daily Recovery” is the inflow to “Cumulative recovered”. Neither has an outflow. It’s like water accumulation in a bathtub: if you keep the inflow of water to the bathtub constant, the bathtub water will continue to rise until it overflows! That’s why Daily Infected and Daily Recovered (after </w:t>
      </w:r>
      <w:r w:rsidRPr="00775C96">
        <w:rPr>
          <w:rFonts w:ascii="Arial" w:eastAsia="Times New Roman" w:hAnsi="Arial"/>
          <w:i/>
          <w:szCs w:val="27"/>
        </w:rPr>
        <w:t>t</w:t>
      </w:r>
      <w:r w:rsidRPr="00775C96">
        <w:rPr>
          <w:rFonts w:ascii="Arial" w:eastAsia="Times New Roman" w:hAnsi="Arial"/>
          <w:szCs w:val="27"/>
        </w:rPr>
        <w:t xml:space="preserve">=10) are positive constant </w:t>
      </w:r>
      <w:proofErr w:type="gramStart"/>
      <w:r w:rsidRPr="00775C96">
        <w:rPr>
          <w:rFonts w:ascii="Arial" w:eastAsia="Times New Roman" w:hAnsi="Arial"/>
          <w:szCs w:val="27"/>
        </w:rPr>
        <w:t>numbers,</w:t>
      </w:r>
      <w:proofErr w:type="gramEnd"/>
      <w:r w:rsidRPr="00775C96">
        <w:rPr>
          <w:rFonts w:ascii="Arial" w:eastAsia="Times New Roman" w:hAnsi="Arial"/>
          <w:szCs w:val="27"/>
        </w:rPr>
        <w:t xml:space="preserve"> their cumulative numbers keep increasing. </w:t>
      </w:r>
    </w:p>
    <w:p w14:paraId="0AC9C641" w14:textId="77777777" w:rsidR="007D5007" w:rsidRDefault="007D5007" w:rsidP="007D5007">
      <w:pPr>
        <w:rPr>
          <w:rFonts w:ascii="Arial" w:eastAsia="Times New Roman" w:hAnsi="Arial"/>
          <w:szCs w:val="27"/>
        </w:rPr>
      </w:pPr>
      <w:r w:rsidRPr="00775C96">
        <w:rPr>
          <w:rFonts w:ascii="Arial" w:eastAsia="Times New Roman" w:hAnsi="Arial"/>
          <w:szCs w:val="27"/>
        </w:rPr>
        <w:t xml:space="preserve">The cumulative number of infected counts everyone who ever got infected, even those who have recovered. But there is one more important question: Given the trends, at time </w:t>
      </w:r>
      <w:r w:rsidRPr="00775C96">
        <w:rPr>
          <w:rFonts w:ascii="Arial" w:eastAsia="Times New Roman" w:hAnsi="Arial"/>
          <w:i/>
          <w:szCs w:val="27"/>
        </w:rPr>
        <w:t>t</w:t>
      </w:r>
      <w:r w:rsidRPr="00775C96">
        <w:rPr>
          <w:rFonts w:ascii="Arial" w:eastAsia="Times New Roman" w:hAnsi="Arial"/>
          <w:szCs w:val="27"/>
        </w:rPr>
        <w:t xml:space="preserve">, how many people are infected and </w:t>
      </w:r>
      <w:r w:rsidRPr="00775C96">
        <w:rPr>
          <w:rFonts w:ascii="Arial" w:eastAsia="Times New Roman" w:hAnsi="Arial"/>
          <w:szCs w:val="27"/>
          <w:u w:val="single"/>
        </w:rPr>
        <w:t>not</w:t>
      </w:r>
      <w:r w:rsidRPr="00775C96">
        <w:rPr>
          <w:rFonts w:ascii="Arial" w:eastAsia="Times New Roman" w:hAnsi="Arial"/>
          <w:szCs w:val="27"/>
        </w:rPr>
        <w:t xml:space="preserve"> recovered yet? That’s the difference between cumulated number of infected and cumulated number of recovered. To make a better sense of how the population moves from susceptible (people who have not yet been sick) to currently infected, and then recovered, we can offer a stock-flow diagram. See the following figure: it has three boxes (stocks) of </w:t>
      </w:r>
      <w:r w:rsidRPr="00775C96">
        <w:rPr>
          <w:rFonts w:ascii="Arial" w:eastAsia="Times New Roman" w:hAnsi="Arial"/>
          <w:i/>
          <w:iCs/>
          <w:szCs w:val="27"/>
        </w:rPr>
        <w:t>Susceptible</w:t>
      </w:r>
      <w:r w:rsidRPr="00775C96">
        <w:rPr>
          <w:rFonts w:ascii="Arial" w:eastAsia="Times New Roman" w:hAnsi="Arial"/>
          <w:szCs w:val="27"/>
        </w:rPr>
        <w:t xml:space="preserve">, [current] </w:t>
      </w:r>
      <w:r w:rsidRPr="00775C96">
        <w:rPr>
          <w:rFonts w:ascii="Arial" w:eastAsia="Times New Roman" w:hAnsi="Arial"/>
          <w:i/>
          <w:iCs/>
          <w:szCs w:val="27"/>
        </w:rPr>
        <w:t>Infected</w:t>
      </w:r>
      <w:r w:rsidRPr="00775C96">
        <w:rPr>
          <w:rFonts w:ascii="Arial" w:eastAsia="Times New Roman" w:hAnsi="Arial"/>
          <w:szCs w:val="27"/>
        </w:rPr>
        <w:t xml:space="preserve">, and [cumulative] </w:t>
      </w:r>
      <w:r w:rsidRPr="00775C96">
        <w:rPr>
          <w:rFonts w:ascii="Arial" w:eastAsia="Times New Roman" w:hAnsi="Arial"/>
          <w:i/>
          <w:iCs/>
          <w:szCs w:val="27"/>
        </w:rPr>
        <w:t>Recovered</w:t>
      </w:r>
      <w:r w:rsidRPr="00775C96">
        <w:rPr>
          <w:rFonts w:ascii="Arial" w:eastAsia="Times New Roman" w:hAnsi="Arial"/>
          <w:szCs w:val="27"/>
        </w:rPr>
        <w:t xml:space="preserve"> (we intentionally use the word recovered instead of cumulative recovered as that’s how it is mentioned in the literature and students can see why this diagram is called S.I.R.). The diagram shows how people change their status, from left (</w:t>
      </w:r>
      <w:r w:rsidRPr="00775C96">
        <w:rPr>
          <w:rFonts w:ascii="Arial" w:eastAsia="Times New Roman" w:hAnsi="Arial"/>
          <w:i/>
          <w:iCs/>
          <w:szCs w:val="27"/>
        </w:rPr>
        <w:t>Susceptible</w:t>
      </w:r>
      <w:r w:rsidRPr="00775C96">
        <w:rPr>
          <w:rFonts w:ascii="Arial" w:eastAsia="Times New Roman" w:hAnsi="Arial"/>
          <w:szCs w:val="27"/>
        </w:rPr>
        <w:t>) to right (</w:t>
      </w:r>
      <w:r w:rsidRPr="00775C96">
        <w:rPr>
          <w:rFonts w:ascii="Arial" w:eastAsia="Times New Roman" w:hAnsi="Arial"/>
          <w:i/>
          <w:iCs/>
          <w:szCs w:val="27"/>
        </w:rPr>
        <w:t xml:space="preserve">Infected </w:t>
      </w:r>
      <w:r w:rsidRPr="00775C96">
        <w:rPr>
          <w:rFonts w:ascii="Arial" w:eastAsia="Times New Roman" w:hAnsi="Arial"/>
          <w:szCs w:val="27"/>
        </w:rPr>
        <w:t xml:space="preserve">and then </w:t>
      </w:r>
      <w:r w:rsidRPr="00775C96">
        <w:rPr>
          <w:rFonts w:ascii="Arial" w:eastAsia="Times New Roman" w:hAnsi="Arial"/>
          <w:i/>
          <w:iCs/>
          <w:szCs w:val="27"/>
        </w:rPr>
        <w:t>Recovered</w:t>
      </w:r>
      <w:r w:rsidRPr="00775C96">
        <w:rPr>
          <w:rFonts w:ascii="Arial" w:eastAsia="Times New Roman" w:hAnsi="Arial"/>
          <w:szCs w:val="27"/>
        </w:rPr>
        <w:t>). For now, let’s just focus on the box at the middle (Infected). Current infected i</w:t>
      </w:r>
      <w:r>
        <w:rPr>
          <w:rFonts w:ascii="Arial" w:eastAsia="Times New Roman" w:hAnsi="Arial"/>
          <w:szCs w:val="27"/>
        </w:rPr>
        <w:t>s also a stock variable. It increases with each new infection (inflow) and decreases by daily recovery (outflow).</w:t>
      </w:r>
    </w:p>
    <w:p w14:paraId="79C76EAC" w14:textId="77777777" w:rsidR="007D5007" w:rsidRDefault="007D5007" w:rsidP="007D5007">
      <w:pPr>
        <w:rPr>
          <w:rFonts w:ascii="Arial" w:eastAsia="Times New Roman" w:hAnsi="Arial"/>
          <w:szCs w:val="27"/>
        </w:rPr>
      </w:pPr>
      <w:r w:rsidRPr="005D1FF5">
        <w:rPr>
          <w:rFonts w:ascii="Arial" w:eastAsia="Times New Roman" w:hAnsi="Arial"/>
          <w:noProof/>
          <w:szCs w:val="27"/>
        </w:rPr>
        <w:drawing>
          <wp:inline distT="0" distB="0" distL="0" distR="0" wp14:anchorId="5049A017" wp14:editId="338F7D94">
            <wp:extent cx="5629985" cy="1085850"/>
            <wp:effectExtent l="0" t="0" r="889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r="50557" b="41475"/>
                    <a:stretch/>
                  </pic:blipFill>
                  <pic:spPr bwMode="auto">
                    <a:xfrm>
                      <a:off x="0" y="0"/>
                      <a:ext cx="5649316" cy="1089578"/>
                    </a:xfrm>
                    <a:prstGeom prst="rect">
                      <a:avLst/>
                    </a:prstGeom>
                    <a:noFill/>
                    <a:ln>
                      <a:noFill/>
                    </a:ln>
                    <a:extLst>
                      <a:ext uri="{53640926-AAD7-44d8-BBD7-CCE9431645EC}">
                        <a14:shadowObscured xmlns:a14="http://schemas.microsoft.com/office/drawing/2010/main"/>
                      </a:ext>
                    </a:extLst>
                  </pic:spPr>
                </pic:pic>
              </a:graphicData>
            </a:graphic>
          </wp:inline>
        </w:drawing>
      </w:r>
    </w:p>
    <w:p w14:paraId="72EDAC20" w14:textId="77777777" w:rsidR="007D5007" w:rsidRPr="007D5007" w:rsidRDefault="007D5007" w:rsidP="007D5007">
      <w:pPr>
        <w:rPr>
          <w:rFonts w:ascii="Arial Bold" w:eastAsia="Times New Roman" w:hAnsi="Arial Bold"/>
          <w:b/>
          <w:bCs/>
        </w:rPr>
      </w:pPr>
      <w:r w:rsidRPr="007D5007">
        <w:rPr>
          <w:rFonts w:ascii="Arial Bold" w:eastAsia="Times New Roman" w:hAnsi="Arial Bold"/>
          <w:b/>
          <w:bCs/>
        </w:rPr>
        <w:t>Student Team Challenge #1</w:t>
      </w:r>
    </w:p>
    <w:p w14:paraId="22F13A58" w14:textId="169B6CEA" w:rsidR="007D5007" w:rsidRDefault="007D5007" w:rsidP="007D5007">
      <w:pPr>
        <w:rPr>
          <w:rFonts w:ascii="Arial" w:eastAsia="Times New Roman" w:hAnsi="Arial"/>
          <w:szCs w:val="27"/>
        </w:rPr>
      </w:pPr>
      <w:r>
        <w:rPr>
          <w:rFonts w:ascii="Arial" w:eastAsia="Times New Roman" w:hAnsi="Arial"/>
          <w:szCs w:val="27"/>
        </w:rPr>
        <w:t xml:space="preserve">Given this information, </w:t>
      </w:r>
      <w:r w:rsidRPr="0051401D">
        <w:rPr>
          <w:rFonts w:ascii="Arial Bold" w:eastAsia="Times New Roman" w:hAnsi="Arial Bold"/>
          <w:b/>
          <w:bCs/>
        </w:rPr>
        <w:t xml:space="preserve">can you use Figure 1a to estimate </w:t>
      </w:r>
      <w:r w:rsidR="00F62640">
        <w:rPr>
          <w:rFonts w:ascii="Arial Bold" w:eastAsia="Times New Roman" w:hAnsi="Arial Bold"/>
          <w:b/>
          <w:bCs/>
        </w:rPr>
        <w:t xml:space="preserve">the </w:t>
      </w:r>
      <w:r w:rsidRPr="0051401D">
        <w:rPr>
          <w:rFonts w:ascii="Arial Bold" w:eastAsia="Times New Roman" w:hAnsi="Arial Bold"/>
          <w:b/>
          <w:bCs/>
        </w:rPr>
        <w:t>number of current infected from new infection and daily recovery?</w:t>
      </w:r>
      <w:r>
        <w:rPr>
          <w:rFonts w:ascii="Arial" w:eastAsia="Times New Roman" w:hAnsi="Arial"/>
          <w:szCs w:val="27"/>
        </w:rPr>
        <w:t xml:space="preserve"> Hint: From January 1</w:t>
      </w:r>
      <w:r w:rsidRPr="000526CE">
        <w:rPr>
          <w:rFonts w:ascii="Arial" w:eastAsia="Times New Roman" w:hAnsi="Arial"/>
          <w:szCs w:val="27"/>
          <w:vertAlign w:val="superscript"/>
        </w:rPr>
        <w:t>st</w:t>
      </w:r>
      <w:r>
        <w:rPr>
          <w:rFonts w:ascii="Arial" w:eastAsia="Times New Roman" w:hAnsi="Arial"/>
          <w:szCs w:val="27"/>
        </w:rPr>
        <w:t xml:space="preserve"> until 10</w:t>
      </w:r>
      <w:r w:rsidRPr="000526CE">
        <w:rPr>
          <w:rFonts w:ascii="Arial" w:eastAsia="Times New Roman" w:hAnsi="Arial"/>
          <w:szCs w:val="27"/>
          <w:vertAlign w:val="superscript"/>
        </w:rPr>
        <w:t>th</w:t>
      </w:r>
      <w:r>
        <w:rPr>
          <w:rFonts w:ascii="Arial" w:eastAsia="Times New Roman" w:hAnsi="Arial"/>
          <w:szCs w:val="27"/>
        </w:rPr>
        <w:t>, every day we are adding 100 new cases, and after January 10</w:t>
      </w:r>
      <w:r w:rsidRPr="007B2C7E">
        <w:rPr>
          <w:rFonts w:ascii="Arial" w:eastAsia="Times New Roman" w:hAnsi="Arial"/>
          <w:szCs w:val="27"/>
          <w:vertAlign w:val="superscript"/>
        </w:rPr>
        <w:t>th</w:t>
      </w:r>
      <w:r>
        <w:rPr>
          <w:rFonts w:ascii="Arial" w:eastAsia="Times New Roman" w:hAnsi="Arial"/>
          <w:szCs w:val="27"/>
        </w:rPr>
        <w:t>, we are still adding 100 new cases each day while 50 are recovering each day (net i</w:t>
      </w:r>
      <w:r w:rsidRPr="00775C96">
        <w:rPr>
          <w:rFonts w:ascii="Arial" w:eastAsia="Times New Roman" w:hAnsi="Arial"/>
          <w:szCs w:val="27"/>
        </w:rPr>
        <w:t>ncrease of 50). Figure 1b, the dotted line shows the trend of current infected. As you see, the number of infected people is still increasing. And that continues as long as inflow &gt; outflow (which was the case in this simple example). The bathtub analogy helps here too: water is flowing in to the bathtub much more than draining out, thus water is accumulating in the bathtub. This is physics ruling</w:t>
      </w:r>
      <w:r>
        <w:rPr>
          <w:rFonts w:ascii="Arial" w:eastAsia="Times New Roman" w:hAnsi="Arial"/>
          <w:szCs w:val="27"/>
        </w:rPr>
        <w:t xml:space="preserve">! </w:t>
      </w:r>
    </w:p>
    <w:p w14:paraId="1B57F90B" w14:textId="77777777" w:rsidR="007D5007" w:rsidRPr="007D5007" w:rsidRDefault="007D5007" w:rsidP="007D5007">
      <w:pPr>
        <w:rPr>
          <w:rFonts w:ascii="Arial Bold" w:eastAsia="Times New Roman" w:hAnsi="Arial Bold"/>
          <w:b/>
          <w:bCs/>
        </w:rPr>
      </w:pPr>
      <w:r>
        <w:rPr>
          <w:rFonts w:ascii="Arial Bold" w:eastAsia="Times New Roman" w:hAnsi="Arial Bold"/>
          <w:b/>
          <w:bCs/>
        </w:rPr>
        <w:t>Student Team Challenge #2</w:t>
      </w:r>
    </w:p>
    <w:p w14:paraId="18F9E1E2" w14:textId="77777777" w:rsidR="007D5007" w:rsidRPr="00775C96" w:rsidRDefault="007D5007" w:rsidP="007D5007">
      <w:pPr>
        <w:rPr>
          <w:rFonts w:ascii="Arial" w:eastAsia="Times New Roman" w:hAnsi="Arial"/>
          <w:szCs w:val="27"/>
        </w:rPr>
      </w:pPr>
      <w:r>
        <w:rPr>
          <w:rFonts w:ascii="Arial" w:eastAsia="Times New Roman" w:hAnsi="Arial"/>
          <w:szCs w:val="27"/>
        </w:rPr>
        <w:t xml:space="preserve">The previous problem was a simple case. Consider the following. Figure 2a shows number of new infections, and daily recoveries. Daily infected (black line) starts with 50 for 5 days, then becomes 100 per day for 10 days, then back to 50 and finally to zero. Recovery (green line) follows the same pattern with a 10-day delay. </w:t>
      </w:r>
      <w:r w:rsidRPr="0051401D">
        <w:rPr>
          <w:rFonts w:ascii="Arial Bold" w:eastAsia="Times New Roman" w:hAnsi="Arial Bold"/>
          <w:b/>
          <w:bCs/>
        </w:rPr>
        <w:t>Can you estimate “cumulative infected”, “cumulative recovered” and “current infected?”</w:t>
      </w:r>
    </w:p>
    <w:tbl>
      <w:tblPr>
        <w:tblStyle w:val="TableGrid"/>
        <w:tblW w:w="0" w:type="auto"/>
        <w:tblLook w:val="04A0" w:firstRow="1" w:lastRow="0" w:firstColumn="1" w:lastColumn="0" w:noHBand="0" w:noVBand="1"/>
      </w:tblPr>
      <w:tblGrid>
        <w:gridCol w:w="4285"/>
        <w:gridCol w:w="4571"/>
      </w:tblGrid>
      <w:tr w:rsidR="007D5007" w:rsidRPr="00775C96" w14:paraId="3EF4A7CB" w14:textId="77777777" w:rsidTr="00F30119">
        <w:tc>
          <w:tcPr>
            <w:tcW w:w="4566" w:type="dxa"/>
          </w:tcPr>
          <w:p w14:paraId="455B4822" w14:textId="77777777" w:rsidR="007D5007" w:rsidRPr="00775C96" w:rsidRDefault="007D5007" w:rsidP="00F30119">
            <w:pPr>
              <w:jc w:val="center"/>
              <w:rPr>
                <w:noProof/>
              </w:rPr>
            </w:pPr>
            <w:r w:rsidRPr="00775C96">
              <w:rPr>
                <w:noProof/>
              </w:rPr>
              <w:drawing>
                <wp:inline distT="0" distB="0" distL="0" distR="0" wp14:anchorId="22D16DD6" wp14:editId="576F60C4">
                  <wp:extent cx="2293143" cy="2088359"/>
                  <wp:effectExtent l="0" t="0" r="12065" b="762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9EB208F" w14:textId="77777777" w:rsidR="007D5007" w:rsidRPr="00775C96" w:rsidRDefault="007D5007" w:rsidP="00F30119">
            <w:pPr>
              <w:jc w:val="center"/>
              <w:rPr>
                <w:rFonts w:ascii="Arial" w:eastAsia="Times New Roman" w:hAnsi="Arial"/>
                <w:szCs w:val="27"/>
              </w:rPr>
            </w:pPr>
            <w:r w:rsidRPr="00775C96">
              <w:rPr>
                <w:noProof/>
              </w:rPr>
              <w:t>a</w:t>
            </w:r>
          </w:p>
        </w:tc>
        <w:tc>
          <w:tcPr>
            <w:tcW w:w="4784" w:type="dxa"/>
          </w:tcPr>
          <w:p w14:paraId="2C4CF07B" w14:textId="77777777" w:rsidR="007D5007" w:rsidRPr="00775C96" w:rsidRDefault="007D5007" w:rsidP="00F30119">
            <w:pPr>
              <w:jc w:val="center"/>
              <w:rPr>
                <w:noProof/>
              </w:rPr>
            </w:pPr>
            <w:r w:rsidRPr="00775C96">
              <w:rPr>
                <w:noProof/>
              </w:rPr>
              <w:drawing>
                <wp:inline distT="0" distB="0" distL="0" distR="0" wp14:anchorId="66E0179E" wp14:editId="3DF6EF20">
                  <wp:extent cx="2537777" cy="2090420"/>
                  <wp:effectExtent l="0" t="0" r="15240" b="508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EB2730E" w14:textId="77777777" w:rsidR="007D5007" w:rsidRPr="00775C96" w:rsidRDefault="007D5007" w:rsidP="00F30119">
            <w:pPr>
              <w:jc w:val="center"/>
              <w:rPr>
                <w:rFonts w:ascii="Arial" w:eastAsia="Times New Roman" w:hAnsi="Arial"/>
                <w:szCs w:val="27"/>
              </w:rPr>
            </w:pPr>
            <w:r w:rsidRPr="00775C96">
              <w:rPr>
                <w:noProof/>
              </w:rPr>
              <w:t>b</w:t>
            </w:r>
          </w:p>
        </w:tc>
      </w:tr>
    </w:tbl>
    <w:p w14:paraId="4AD5EA11" w14:textId="77777777" w:rsidR="007D5007" w:rsidRPr="00775C96" w:rsidRDefault="007D5007" w:rsidP="007D5007">
      <w:pPr>
        <w:jc w:val="center"/>
        <w:rPr>
          <w:rFonts w:ascii="Arial" w:eastAsia="Times New Roman" w:hAnsi="Arial"/>
          <w:szCs w:val="27"/>
        </w:rPr>
      </w:pPr>
      <w:r w:rsidRPr="00775C96">
        <w:rPr>
          <w:rFonts w:ascii="Arial" w:eastAsia="Times New Roman" w:hAnsi="Arial"/>
          <w:szCs w:val="27"/>
        </w:rPr>
        <w:t>Figure 2: A more realistic example of stock-flow concepts in infectious diseases</w:t>
      </w:r>
    </w:p>
    <w:p w14:paraId="0B81676B" w14:textId="77777777" w:rsidR="007D5007" w:rsidRPr="00775C96" w:rsidRDefault="007D5007" w:rsidP="007D5007">
      <w:pPr>
        <w:rPr>
          <w:rFonts w:ascii="Arial" w:eastAsia="Times New Roman" w:hAnsi="Arial"/>
          <w:szCs w:val="27"/>
        </w:rPr>
      </w:pPr>
      <w:r w:rsidRPr="00775C96">
        <w:rPr>
          <w:rFonts w:ascii="Arial" w:eastAsia="Times New Roman" w:hAnsi="Arial"/>
          <w:szCs w:val="27"/>
        </w:rPr>
        <w:t xml:space="preserve">Figure 2b shows Cumulative Infected, and Cumulative </w:t>
      </w:r>
      <w:proofErr w:type="gramStart"/>
      <w:r w:rsidRPr="00775C96">
        <w:rPr>
          <w:rFonts w:ascii="Arial" w:eastAsia="Times New Roman" w:hAnsi="Arial"/>
          <w:szCs w:val="27"/>
        </w:rPr>
        <w:t>Recovered which</w:t>
      </w:r>
      <w:proofErr w:type="gramEnd"/>
      <w:r w:rsidRPr="00775C96">
        <w:rPr>
          <w:rFonts w:ascii="Arial" w:eastAsia="Times New Roman" w:hAnsi="Arial"/>
          <w:szCs w:val="27"/>
        </w:rPr>
        <w:t xml:space="preserve"> are totals of the cases that we see in the daily trends of Figure 2a. If you just focus on “New infected” in Figure 2a, we have to count all new cases over time. The first 5 days, every day we are adding 50 new cases, so by the end of the first 5 days we will have 250 cases (note the corresponding point in the black graph on Figure 2b). Then infections speed up, and every day for ten days we have 100 new cases. So by day 15 we will have 250+1000 total cases (note the corresponding point in the black graph on Figure 2b). And finally, we have 5 more days with 50 new infections and after day 20 we stop seeing new cases, and that’s when the cumulative cases levels off at 1,500. The same pattern exists for </w:t>
      </w:r>
      <w:r w:rsidRPr="00775C96">
        <w:rPr>
          <w:rFonts w:ascii="Arial" w:eastAsia="Times New Roman" w:hAnsi="Arial"/>
          <w:i/>
          <w:iCs/>
          <w:szCs w:val="27"/>
        </w:rPr>
        <w:t>Cumulative recovered</w:t>
      </w:r>
      <w:r w:rsidRPr="00775C96">
        <w:rPr>
          <w:rFonts w:ascii="Arial" w:eastAsia="Times New Roman" w:hAnsi="Arial"/>
          <w:szCs w:val="27"/>
        </w:rPr>
        <w:t xml:space="preserve">. In the absence of death, </w:t>
      </w:r>
      <w:r w:rsidRPr="00775C96">
        <w:rPr>
          <w:rFonts w:ascii="Arial" w:eastAsia="Times New Roman" w:hAnsi="Arial"/>
          <w:i/>
          <w:iCs/>
          <w:szCs w:val="27"/>
        </w:rPr>
        <w:t>Cumulative recovered</w:t>
      </w:r>
      <w:r w:rsidRPr="00775C96">
        <w:rPr>
          <w:rFonts w:ascii="Arial" w:eastAsia="Times New Roman" w:hAnsi="Arial"/>
          <w:szCs w:val="27"/>
        </w:rPr>
        <w:t xml:space="preserve"> will eventually be equal to </w:t>
      </w:r>
      <w:r w:rsidRPr="00775C96">
        <w:rPr>
          <w:rFonts w:ascii="Arial" w:eastAsia="Times New Roman" w:hAnsi="Arial"/>
          <w:i/>
          <w:iCs/>
          <w:szCs w:val="27"/>
        </w:rPr>
        <w:t>Cumulative infected</w:t>
      </w:r>
      <w:r w:rsidRPr="00775C96">
        <w:rPr>
          <w:rFonts w:ascii="Arial" w:eastAsia="Times New Roman" w:hAnsi="Arial"/>
          <w:szCs w:val="27"/>
        </w:rPr>
        <w:t xml:space="preserve">.  </w:t>
      </w:r>
    </w:p>
    <w:p w14:paraId="7E693428" w14:textId="77777777" w:rsidR="007D5007" w:rsidRDefault="007D5007" w:rsidP="007D5007">
      <w:pPr>
        <w:rPr>
          <w:rFonts w:ascii="Arial" w:eastAsia="Times New Roman" w:hAnsi="Arial"/>
          <w:szCs w:val="27"/>
        </w:rPr>
      </w:pPr>
      <w:r w:rsidRPr="00775C96">
        <w:rPr>
          <w:rFonts w:ascii="Arial" w:eastAsia="Times New Roman" w:hAnsi="Arial"/>
          <w:szCs w:val="27"/>
        </w:rPr>
        <w:t xml:space="preserve">In Figure 2b we also see current infected (red dashed line). How is that estimated? Think this way: every day we are adding the difference between New Infected and Daily Recovery, or subtracting if Recovery is more than New Infection. As long as New Infected is more than daily recovery (inflow&gt; outflow) we see growth in Current Infected. When do we pass the peak? </w:t>
      </w:r>
      <w:r w:rsidRPr="00775C96">
        <w:rPr>
          <w:rFonts w:ascii="Arial" w:eastAsia="Times New Roman" w:hAnsi="Arial"/>
          <w:b/>
          <w:szCs w:val="27"/>
        </w:rPr>
        <w:t>The peak is when inflow=outflow!</w:t>
      </w:r>
      <w:r w:rsidRPr="00775C96">
        <w:rPr>
          <w:rFonts w:ascii="Arial" w:eastAsia="Times New Roman" w:hAnsi="Arial"/>
          <w:szCs w:val="27"/>
        </w:rPr>
        <w:t xml:space="preserve"> See Figure 2a, in the day that the black line and green line cross (right at the middle of day 15 and 16), on Figure 2b, the dashed red line reaches its maximum. Quickly after that day, the dashed line starts decreas</w:t>
      </w:r>
      <w:r>
        <w:rPr>
          <w:rFonts w:ascii="Arial" w:eastAsia="Times New Roman" w:hAnsi="Arial"/>
          <w:szCs w:val="27"/>
        </w:rPr>
        <w:t xml:space="preserve">ing, since on a daily base we have more Recovery than New Infection. </w:t>
      </w:r>
    </w:p>
    <w:p w14:paraId="2502DCE4" w14:textId="77777777" w:rsidR="007D5007" w:rsidRDefault="007D5007" w:rsidP="007D5007">
      <w:pPr>
        <w:rPr>
          <w:rFonts w:ascii="Arial" w:eastAsia="Times New Roman" w:hAnsi="Arial"/>
          <w:szCs w:val="27"/>
          <w:u w:val="single"/>
        </w:rPr>
      </w:pPr>
    </w:p>
    <w:p w14:paraId="79E0E221" w14:textId="77777777" w:rsidR="007D5007" w:rsidRDefault="007D5007" w:rsidP="007D5007">
      <w:pPr>
        <w:rPr>
          <w:rFonts w:ascii="Arial" w:eastAsia="Times New Roman" w:hAnsi="Arial"/>
          <w:szCs w:val="27"/>
          <w:u w:val="single"/>
        </w:rPr>
      </w:pPr>
    </w:p>
    <w:p w14:paraId="434FFAE2" w14:textId="77777777" w:rsidR="007D5007" w:rsidRDefault="007D5007" w:rsidP="007D5007">
      <w:pPr>
        <w:rPr>
          <w:rFonts w:ascii="Arial" w:eastAsia="Times New Roman" w:hAnsi="Arial"/>
          <w:szCs w:val="27"/>
          <w:u w:val="single"/>
        </w:rPr>
      </w:pPr>
    </w:p>
    <w:p w14:paraId="6E588358" w14:textId="77777777" w:rsidR="007D5007" w:rsidRPr="00DF1E33" w:rsidRDefault="007D5007" w:rsidP="007D5007">
      <w:pPr>
        <w:rPr>
          <w:rFonts w:ascii="Arial" w:eastAsia="Times New Roman" w:hAnsi="Arial"/>
          <w:szCs w:val="27"/>
          <w:u w:val="single"/>
        </w:rPr>
      </w:pPr>
    </w:p>
    <w:p w14:paraId="54B3BF9A" w14:textId="77777777" w:rsidR="007D5007" w:rsidRPr="007D5007" w:rsidRDefault="007D5007" w:rsidP="007D5007">
      <w:pPr>
        <w:rPr>
          <w:rFonts w:ascii="Arial Bold" w:eastAsia="Times New Roman" w:hAnsi="Arial Bold"/>
          <w:b/>
          <w:bCs/>
        </w:rPr>
      </w:pPr>
      <w:r>
        <w:rPr>
          <w:rFonts w:ascii="Arial Bold" w:eastAsia="Times New Roman" w:hAnsi="Arial Bold"/>
          <w:b/>
          <w:bCs/>
        </w:rPr>
        <w:t>Student Team Challenge #3</w:t>
      </w:r>
    </w:p>
    <w:p w14:paraId="0ECA61DF" w14:textId="77777777" w:rsidR="007D5007" w:rsidRDefault="007D5007" w:rsidP="007D5007">
      <w:pPr>
        <w:rPr>
          <w:rFonts w:ascii="Arial" w:eastAsia="Times New Roman" w:hAnsi="Arial"/>
          <w:szCs w:val="27"/>
        </w:rPr>
      </w:pPr>
      <w:r>
        <w:rPr>
          <w:rFonts w:ascii="Arial" w:eastAsia="Times New Roman" w:hAnsi="Arial"/>
          <w:szCs w:val="27"/>
        </w:rPr>
        <w:t xml:space="preserve">Now, let’s consider a more realistic case, using data from Italy: </w:t>
      </w:r>
    </w:p>
    <w:tbl>
      <w:tblPr>
        <w:tblStyle w:val="TableGrid"/>
        <w:tblW w:w="11394" w:type="dxa"/>
        <w:tblInd w:w="-1332" w:type="dxa"/>
        <w:tblLook w:val="04A0" w:firstRow="1" w:lastRow="0" w:firstColumn="1" w:lastColumn="0" w:noHBand="0" w:noVBand="1"/>
      </w:tblPr>
      <w:tblGrid>
        <w:gridCol w:w="5869"/>
        <w:gridCol w:w="6336"/>
      </w:tblGrid>
      <w:tr w:rsidR="007D5007" w14:paraId="0EADF1C2" w14:textId="77777777" w:rsidTr="007D6276">
        <w:tc>
          <w:tcPr>
            <w:tcW w:w="6588" w:type="dxa"/>
          </w:tcPr>
          <w:p w14:paraId="05196336" w14:textId="5797BD61" w:rsidR="007D5007" w:rsidRDefault="007D6276" w:rsidP="007D6276">
            <w:pPr>
              <w:tabs>
                <w:tab w:val="left" w:pos="-720"/>
              </w:tabs>
              <w:ind w:left="-198" w:firstLine="18"/>
              <w:rPr>
                <w:noProof/>
              </w:rPr>
            </w:pPr>
            <w:r>
              <w:rPr>
                <w:noProof/>
              </w:rPr>
              <w:drawing>
                <wp:inline distT="0" distB="0" distL="0" distR="0" wp14:anchorId="73491A50" wp14:editId="1D934C1B">
                  <wp:extent cx="3697939" cy="2599267"/>
                  <wp:effectExtent l="0" t="0" r="1079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01349" cy="2601664"/>
                          </a:xfrm>
                          <a:prstGeom prst="rect">
                            <a:avLst/>
                          </a:prstGeom>
                          <a:noFill/>
                        </pic:spPr>
                      </pic:pic>
                    </a:graphicData>
                  </a:graphic>
                </wp:inline>
              </w:drawing>
            </w:r>
          </w:p>
          <w:p w14:paraId="39FFAEC3" w14:textId="77777777" w:rsidR="007D5007" w:rsidRPr="00F17B2E" w:rsidRDefault="007D5007" w:rsidP="00F30119">
            <w:pPr>
              <w:rPr>
                <w:rFonts w:ascii="Arial" w:eastAsia="Times New Roman" w:hAnsi="Arial"/>
                <w:sz w:val="20"/>
                <w:szCs w:val="27"/>
              </w:rPr>
            </w:pPr>
            <w:proofErr w:type="gramStart"/>
            <w:r w:rsidRPr="00F17B2E">
              <w:rPr>
                <w:rFonts w:ascii="Arial" w:eastAsia="Times New Roman" w:hAnsi="Arial"/>
                <w:sz w:val="20"/>
                <w:szCs w:val="27"/>
              </w:rPr>
              <w:t>a</w:t>
            </w:r>
            <w:proofErr w:type="gramEnd"/>
            <w:r w:rsidRPr="00F17B2E">
              <w:rPr>
                <w:rFonts w:ascii="Arial" w:eastAsia="Times New Roman" w:hAnsi="Arial"/>
                <w:sz w:val="20"/>
                <w:szCs w:val="27"/>
              </w:rPr>
              <w:t xml:space="preserve">: flows: daily new infection (inflow), daily death and daily recovery (outflows) </w:t>
            </w:r>
          </w:p>
        </w:tc>
        <w:tc>
          <w:tcPr>
            <w:tcW w:w="4806" w:type="dxa"/>
          </w:tcPr>
          <w:p w14:paraId="20E045C2" w14:textId="3B93F833" w:rsidR="007D5007" w:rsidRDefault="007D6276" w:rsidP="00F30119">
            <w:pPr>
              <w:rPr>
                <w:noProof/>
              </w:rPr>
            </w:pPr>
            <w:r>
              <w:rPr>
                <w:noProof/>
              </w:rPr>
              <w:drawing>
                <wp:inline distT="0" distB="0" distL="0" distR="0" wp14:anchorId="36A584AF" wp14:editId="764D5E26">
                  <wp:extent cx="3886599" cy="259926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89489" cy="2601200"/>
                          </a:xfrm>
                          <a:prstGeom prst="rect">
                            <a:avLst/>
                          </a:prstGeom>
                          <a:noFill/>
                        </pic:spPr>
                      </pic:pic>
                    </a:graphicData>
                  </a:graphic>
                </wp:inline>
              </w:drawing>
            </w:r>
          </w:p>
          <w:p w14:paraId="56E0F1ED" w14:textId="77777777" w:rsidR="007D5007" w:rsidRPr="00F17B2E" w:rsidRDefault="007D5007" w:rsidP="00F30119">
            <w:pPr>
              <w:rPr>
                <w:rFonts w:ascii="Arial" w:eastAsia="Times New Roman" w:hAnsi="Arial"/>
                <w:sz w:val="20"/>
                <w:szCs w:val="27"/>
              </w:rPr>
            </w:pPr>
            <w:proofErr w:type="gramStart"/>
            <w:r w:rsidRPr="00F17B2E">
              <w:rPr>
                <w:rFonts w:ascii="Arial" w:eastAsia="Times New Roman" w:hAnsi="Arial"/>
                <w:sz w:val="20"/>
                <w:szCs w:val="27"/>
              </w:rPr>
              <w:t>b</w:t>
            </w:r>
            <w:proofErr w:type="gramEnd"/>
            <w:r w:rsidRPr="00F17B2E">
              <w:rPr>
                <w:rFonts w:ascii="Arial" w:eastAsia="Times New Roman" w:hAnsi="Arial"/>
                <w:sz w:val="20"/>
                <w:szCs w:val="27"/>
              </w:rPr>
              <w:t>: same as a, with one graph for total of daily death and recovery (outflow) pointing to the first date at which inflow=outflow</w:t>
            </w:r>
          </w:p>
        </w:tc>
      </w:tr>
      <w:tr w:rsidR="007D5007" w14:paraId="08635D8D" w14:textId="77777777" w:rsidTr="007D6276">
        <w:tc>
          <w:tcPr>
            <w:tcW w:w="6588" w:type="dxa"/>
          </w:tcPr>
          <w:p w14:paraId="42205F17" w14:textId="0871F3CD" w:rsidR="007D5007" w:rsidRDefault="007D6276" w:rsidP="00F30119">
            <w:pPr>
              <w:rPr>
                <w:rFonts w:ascii="Arial" w:eastAsia="Times New Roman" w:hAnsi="Arial"/>
                <w:szCs w:val="27"/>
              </w:rPr>
            </w:pPr>
            <w:r>
              <w:rPr>
                <w:noProof/>
              </w:rPr>
              <w:drawing>
                <wp:inline distT="0" distB="0" distL="0" distR="0" wp14:anchorId="16A2B4F9" wp14:editId="1F1FB2FD">
                  <wp:extent cx="3589655" cy="1972733"/>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90079" cy="1972966"/>
                          </a:xfrm>
                          <a:prstGeom prst="rect">
                            <a:avLst/>
                          </a:prstGeom>
                          <a:noFill/>
                        </pic:spPr>
                      </pic:pic>
                    </a:graphicData>
                  </a:graphic>
                </wp:inline>
              </w:drawing>
            </w:r>
          </w:p>
          <w:p w14:paraId="6EECD75C" w14:textId="77777777" w:rsidR="007D5007" w:rsidRDefault="007D5007" w:rsidP="00F30119">
            <w:pPr>
              <w:rPr>
                <w:rFonts w:ascii="Arial" w:eastAsia="Times New Roman" w:hAnsi="Arial"/>
                <w:szCs w:val="27"/>
              </w:rPr>
            </w:pPr>
            <w:proofErr w:type="gramStart"/>
            <w:r>
              <w:rPr>
                <w:rFonts w:ascii="Arial" w:eastAsia="Times New Roman" w:hAnsi="Arial"/>
                <w:szCs w:val="27"/>
              </w:rPr>
              <w:t>c</w:t>
            </w:r>
            <w:proofErr w:type="gramEnd"/>
            <w:r>
              <w:rPr>
                <w:rFonts w:ascii="Arial" w:eastAsia="Times New Roman" w:hAnsi="Arial"/>
                <w:szCs w:val="27"/>
              </w:rPr>
              <w:t>: cumulative infection, death, and recovered</w:t>
            </w:r>
          </w:p>
        </w:tc>
        <w:tc>
          <w:tcPr>
            <w:tcW w:w="4806" w:type="dxa"/>
          </w:tcPr>
          <w:p w14:paraId="0F0ED4BE" w14:textId="39A91544" w:rsidR="007D5007" w:rsidRDefault="007D6276" w:rsidP="00F30119">
            <w:pPr>
              <w:rPr>
                <w:rFonts w:ascii="Arial" w:eastAsia="Times New Roman" w:hAnsi="Arial"/>
                <w:szCs w:val="27"/>
              </w:rPr>
            </w:pPr>
            <w:r>
              <w:rPr>
                <w:noProof/>
              </w:rPr>
              <w:drawing>
                <wp:inline distT="0" distB="0" distL="0" distR="0" wp14:anchorId="26A193CB" wp14:editId="50EA7D98">
                  <wp:extent cx="3385185" cy="1972733"/>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87165" cy="1973887"/>
                          </a:xfrm>
                          <a:prstGeom prst="rect">
                            <a:avLst/>
                          </a:prstGeom>
                          <a:noFill/>
                        </pic:spPr>
                      </pic:pic>
                    </a:graphicData>
                  </a:graphic>
                </wp:inline>
              </w:drawing>
            </w:r>
          </w:p>
          <w:p w14:paraId="47043B4A" w14:textId="77777777" w:rsidR="007D5007" w:rsidRDefault="007D5007" w:rsidP="00F30119">
            <w:pPr>
              <w:rPr>
                <w:rFonts w:ascii="Arial" w:eastAsia="Times New Roman" w:hAnsi="Arial"/>
                <w:szCs w:val="27"/>
              </w:rPr>
            </w:pPr>
            <w:proofErr w:type="gramStart"/>
            <w:r>
              <w:rPr>
                <w:rFonts w:ascii="Arial" w:eastAsia="Times New Roman" w:hAnsi="Arial"/>
                <w:szCs w:val="27"/>
              </w:rPr>
              <w:t>d</w:t>
            </w:r>
            <w:proofErr w:type="gramEnd"/>
            <w:r>
              <w:rPr>
                <w:rFonts w:ascii="Arial" w:eastAsia="Times New Roman" w:hAnsi="Arial"/>
                <w:szCs w:val="27"/>
              </w:rPr>
              <w:t>: current infected showing the maximum point</w:t>
            </w:r>
          </w:p>
        </w:tc>
      </w:tr>
    </w:tbl>
    <w:p w14:paraId="1121BD7C" w14:textId="77777777" w:rsidR="007D6276" w:rsidRDefault="007D6276" w:rsidP="007D5007">
      <w:pPr>
        <w:rPr>
          <w:rFonts w:ascii="Arial" w:eastAsia="Times New Roman" w:hAnsi="Arial"/>
          <w:szCs w:val="27"/>
        </w:rPr>
      </w:pPr>
    </w:p>
    <w:p w14:paraId="6708B1A1" w14:textId="7C031304" w:rsidR="007D5007" w:rsidRDefault="007D5007" w:rsidP="007D5007">
      <w:pPr>
        <w:rPr>
          <w:rFonts w:ascii="Arial" w:eastAsia="Times New Roman" w:hAnsi="Arial"/>
          <w:szCs w:val="27"/>
        </w:rPr>
      </w:pPr>
      <w:r>
        <w:rPr>
          <w:rFonts w:ascii="Arial" w:eastAsia="Times New Roman" w:hAnsi="Arial"/>
          <w:szCs w:val="27"/>
        </w:rPr>
        <w:t>This is the daily trend of infec</w:t>
      </w:r>
      <w:r w:rsidR="007D6276">
        <w:rPr>
          <w:rFonts w:ascii="Arial" w:eastAsia="Times New Roman" w:hAnsi="Arial"/>
          <w:szCs w:val="27"/>
        </w:rPr>
        <w:t>tions from the 2020</w:t>
      </w:r>
      <w:bookmarkStart w:id="0" w:name="_GoBack"/>
      <w:bookmarkEnd w:id="0"/>
      <w:r>
        <w:rPr>
          <w:rFonts w:ascii="Arial" w:eastAsia="Times New Roman" w:hAnsi="Arial"/>
          <w:szCs w:val="27"/>
        </w:rPr>
        <w:t xml:space="preserve"> coronavirus in Italy. At the time of designing this homework the disease was still spreading; you may search for more up-to-date numbers. </w:t>
      </w:r>
      <w:r w:rsidRPr="0051401D">
        <w:rPr>
          <w:rFonts w:ascii="Arial Bold" w:eastAsia="Times New Roman" w:hAnsi="Arial Bold"/>
          <w:b/>
          <w:bCs/>
        </w:rPr>
        <w:t>The questions are: What is the cumulative number of Infected and what is the cumulative number of Recovered. We unfortunately had death too. What is the cumulative number of deaths? Plot these variables over time.</w:t>
      </w:r>
      <w:r>
        <w:rPr>
          <w:rFonts w:ascii="Arial" w:eastAsia="Times New Roman" w:hAnsi="Arial"/>
          <w:szCs w:val="27"/>
        </w:rPr>
        <w:t xml:space="preserve"> When did we pass the peak of infection (the maximum point in current infected)? You can use the graph and draw current infected. Note that since there is death too, outflow is daily recovery plus daily death. Can you tell that without even drawing the current infected graph? Yes! Hint: maximum of the stock should be on one of the points that inflow=outflow! </w:t>
      </w:r>
    </w:p>
    <w:p w14:paraId="53934B4C" w14:textId="77777777" w:rsidR="00E16434" w:rsidRDefault="00E16434"/>
    <w:sectPr w:rsidR="00E16434" w:rsidSect="007D5007">
      <w:pgSz w:w="12240" w:h="15840"/>
      <w:pgMar w:top="1440" w:right="1800" w:bottom="90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Arial Bold">
    <w:panose1 w:val="020B070402020202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A5165F"/>
    <w:multiLevelType w:val="hybridMultilevel"/>
    <w:tmpl w:val="F70C4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007"/>
    <w:rsid w:val="0051401D"/>
    <w:rsid w:val="005D6E1C"/>
    <w:rsid w:val="0060528B"/>
    <w:rsid w:val="006A7AE3"/>
    <w:rsid w:val="007D5007"/>
    <w:rsid w:val="007D6276"/>
    <w:rsid w:val="00E16434"/>
    <w:rsid w:val="00F62640"/>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4A3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007"/>
    <w:pPr>
      <w:spacing w:after="160" w:line="259" w:lineRule="auto"/>
    </w:pPr>
    <w:rPr>
      <w:rFonts w:eastAsiaTheme="minorHAns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5007"/>
    <w:pPr>
      <w:ind w:left="720"/>
      <w:contextualSpacing/>
    </w:pPr>
  </w:style>
  <w:style w:type="table" w:styleId="TableGrid">
    <w:name w:val="Table Grid"/>
    <w:basedOn w:val="TableNormal"/>
    <w:uiPriority w:val="39"/>
    <w:rsid w:val="007D5007"/>
    <w:pPr>
      <w:spacing w:after="0"/>
    </w:pPr>
    <w:rPr>
      <w:rFonts w:eastAsia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D500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D5007"/>
    <w:rPr>
      <w:rFonts w:ascii="Lucida Grande" w:eastAsiaTheme="minorHAnsi" w:hAnsi="Lucida Grande" w:cs="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007"/>
    <w:pPr>
      <w:spacing w:after="160" w:line="259" w:lineRule="auto"/>
    </w:pPr>
    <w:rPr>
      <w:rFonts w:eastAsiaTheme="minorHAns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5007"/>
    <w:pPr>
      <w:ind w:left="720"/>
      <w:contextualSpacing/>
    </w:pPr>
  </w:style>
  <w:style w:type="table" w:styleId="TableGrid">
    <w:name w:val="Table Grid"/>
    <w:basedOn w:val="TableNormal"/>
    <w:uiPriority w:val="39"/>
    <w:rsid w:val="007D5007"/>
    <w:pPr>
      <w:spacing w:after="0"/>
    </w:pPr>
    <w:rPr>
      <w:rFonts w:eastAsia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D500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D5007"/>
    <w:rPr>
      <w:rFonts w:ascii="Lucida Grande" w:eastAsiaTheme="minorHAnsi"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chart" Target="charts/chart4.xml"/><Relationship Id="rId12" Type="http://schemas.openxmlformats.org/officeDocument/2006/relationships/image" Target="media/image3.png"/><Relationship Id="rId13" Type="http://schemas.openxmlformats.org/officeDocument/2006/relationships/image" Target="media/image4.png"/><Relationship Id="rId14" Type="http://schemas.openxmlformats.org/officeDocument/2006/relationships/image" Target="media/image5.png"/><Relationship Id="rId15" Type="http://schemas.openxmlformats.org/officeDocument/2006/relationships/image" Target="media/image6.png"/><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chart" Target="charts/chart1.xml"/><Relationship Id="rId7" Type="http://schemas.openxmlformats.org/officeDocument/2006/relationships/chart" Target="charts/chart2.xml"/><Relationship Id="rId8" Type="http://schemas.openxmlformats.org/officeDocument/2006/relationships/image" Target="media/image1.emf"/><Relationship Id="rId9" Type="http://schemas.openxmlformats.org/officeDocument/2006/relationships/image" Target="media/image2.emf"/><Relationship Id="rId10"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navidg\Dropbox\5-Service\4-Outside%20university%20activities\Blossoms\PNL\Simple%20SIR.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navidg\Dropbox\5-Service\4-Outside%20university%20activities\Blossoms\PNL\Navid%20Design\Simple%20SIR.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navidg\Dropbox\5-Service\4-Outside%20university%20activities\Blossoms\PNL\Navid%20Design\Simple%20SIR.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navidg\Dropbox\5-Service\4-Outside%20university%20activities\Blossoms\PNL\Navid%20Design\Simple%20SIR.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75440301804118"/>
          <c:y val="0.0668946287491758"/>
          <c:w val="0.638384522901537"/>
          <c:h val="0.679796433467618"/>
        </c:manualLayout>
      </c:layout>
      <c:scatterChart>
        <c:scatterStyle val="lineMarker"/>
        <c:varyColors val="0"/>
        <c:ser>
          <c:idx val="0"/>
          <c:order val="0"/>
          <c:tx>
            <c:strRef>
              <c:f>Sheet1!$B$1</c:f>
              <c:strCache>
                <c:ptCount val="1"/>
                <c:pt idx="0">
                  <c:v>New infected</c:v>
                </c:pt>
              </c:strCache>
            </c:strRef>
          </c:tx>
          <c:spPr>
            <a:ln w="28575" cap="rnd">
              <a:solidFill>
                <a:schemeClr val="tx1"/>
              </a:solidFill>
              <a:round/>
            </a:ln>
            <a:effectLst/>
          </c:spPr>
          <c:marker>
            <c:symbol val="none"/>
          </c:marker>
          <c:xVal>
            <c:numRef>
              <c:f>Sheet1!$A$2:$A$32</c:f>
              <c:numCache>
                <c:formatCode>General</c:formatCode>
                <c:ptCount val="31"/>
                <c:pt idx="0">
                  <c:v>1.0</c:v>
                </c:pt>
                <c:pt idx="1">
                  <c:v>2.0</c:v>
                </c:pt>
                <c:pt idx="2">
                  <c:v>3.0</c:v>
                </c:pt>
                <c:pt idx="3">
                  <c:v>4.0</c:v>
                </c:pt>
                <c:pt idx="4">
                  <c:v>5.0</c:v>
                </c:pt>
                <c:pt idx="5">
                  <c:v>6.0</c:v>
                </c:pt>
                <c:pt idx="6">
                  <c:v>7.0</c:v>
                </c:pt>
                <c:pt idx="7">
                  <c:v>8.0</c:v>
                </c:pt>
                <c:pt idx="8">
                  <c:v>9.0</c:v>
                </c:pt>
                <c:pt idx="9">
                  <c:v>10.0</c:v>
                </c:pt>
                <c:pt idx="10">
                  <c:v>11.0</c:v>
                </c:pt>
                <c:pt idx="11">
                  <c:v>12.0</c:v>
                </c:pt>
                <c:pt idx="12">
                  <c:v>13.0</c:v>
                </c:pt>
                <c:pt idx="13">
                  <c:v>14.0</c:v>
                </c:pt>
                <c:pt idx="14">
                  <c:v>15.0</c:v>
                </c:pt>
                <c:pt idx="15">
                  <c:v>16.0</c:v>
                </c:pt>
                <c:pt idx="16">
                  <c:v>17.0</c:v>
                </c:pt>
                <c:pt idx="17">
                  <c:v>18.0</c:v>
                </c:pt>
                <c:pt idx="18">
                  <c:v>19.0</c:v>
                </c:pt>
                <c:pt idx="19">
                  <c:v>20.0</c:v>
                </c:pt>
                <c:pt idx="20">
                  <c:v>21.0</c:v>
                </c:pt>
                <c:pt idx="21">
                  <c:v>22.0</c:v>
                </c:pt>
                <c:pt idx="22">
                  <c:v>23.0</c:v>
                </c:pt>
                <c:pt idx="23">
                  <c:v>24.0</c:v>
                </c:pt>
                <c:pt idx="24">
                  <c:v>25.0</c:v>
                </c:pt>
                <c:pt idx="25">
                  <c:v>26.0</c:v>
                </c:pt>
                <c:pt idx="26">
                  <c:v>27.0</c:v>
                </c:pt>
                <c:pt idx="27">
                  <c:v>28.0</c:v>
                </c:pt>
                <c:pt idx="28">
                  <c:v>29.0</c:v>
                </c:pt>
                <c:pt idx="29">
                  <c:v>30.0</c:v>
                </c:pt>
                <c:pt idx="30">
                  <c:v>31.0</c:v>
                </c:pt>
              </c:numCache>
            </c:numRef>
          </c:xVal>
          <c:yVal>
            <c:numRef>
              <c:f>Sheet1!$B$2:$B$32</c:f>
              <c:numCache>
                <c:formatCode>General</c:formatCode>
                <c:ptCount val="31"/>
                <c:pt idx="0">
                  <c:v>100.0</c:v>
                </c:pt>
                <c:pt idx="1">
                  <c:v>100.0</c:v>
                </c:pt>
                <c:pt idx="2">
                  <c:v>100.0</c:v>
                </c:pt>
                <c:pt idx="3">
                  <c:v>100.0</c:v>
                </c:pt>
                <c:pt idx="4">
                  <c:v>100.0</c:v>
                </c:pt>
                <c:pt idx="5">
                  <c:v>100.0</c:v>
                </c:pt>
                <c:pt idx="6">
                  <c:v>100.0</c:v>
                </c:pt>
                <c:pt idx="7">
                  <c:v>100.0</c:v>
                </c:pt>
                <c:pt idx="8">
                  <c:v>100.0</c:v>
                </c:pt>
                <c:pt idx="9">
                  <c:v>100.0</c:v>
                </c:pt>
                <c:pt idx="10">
                  <c:v>100.0</c:v>
                </c:pt>
                <c:pt idx="11">
                  <c:v>100.0</c:v>
                </c:pt>
                <c:pt idx="12">
                  <c:v>100.0</c:v>
                </c:pt>
                <c:pt idx="13">
                  <c:v>100.0</c:v>
                </c:pt>
                <c:pt idx="14">
                  <c:v>100.0</c:v>
                </c:pt>
                <c:pt idx="15">
                  <c:v>100.0</c:v>
                </c:pt>
                <c:pt idx="16">
                  <c:v>100.0</c:v>
                </c:pt>
                <c:pt idx="17">
                  <c:v>100.0</c:v>
                </c:pt>
                <c:pt idx="18">
                  <c:v>100.0</c:v>
                </c:pt>
                <c:pt idx="19">
                  <c:v>100.0</c:v>
                </c:pt>
                <c:pt idx="20">
                  <c:v>100.0</c:v>
                </c:pt>
                <c:pt idx="21">
                  <c:v>100.0</c:v>
                </c:pt>
                <c:pt idx="22">
                  <c:v>100.0</c:v>
                </c:pt>
                <c:pt idx="23">
                  <c:v>100.0</c:v>
                </c:pt>
                <c:pt idx="24">
                  <c:v>100.0</c:v>
                </c:pt>
                <c:pt idx="25">
                  <c:v>100.0</c:v>
                </c:pt>
                <c:pt idx="26">
                  <c:v>100.0</c:v>
                </c:pt>
                <c:pt idx="27">
                  <c:v>100.0</c:v>
                </c:pt>
                <c:pt idx="28">
                  <c:v>100.0</c:v>
                </c:pt>
                <c:pt idx="29">
                  <c:v>100.0</c:v>
                </c:pt>
                <c:pt idx="30">
                  <c:v>100.0</c:v>
                </c:pt>
              </c:numCache>
            </c:numRef>
          </c:yVal>
          <c:smooth val="0"/>
        </c:ser>
        <c:ser>
          <c:idx val="1"/>
          <c:order val="1"/>
          <c:tx>
            <c:strRef>
              <c:f>Sheet1!$C$1</c:f>
              <c:strCache>
                <c:ptCount val="1"/>
                <c:pt idx="0">
                  <c:v>Daily recovery</c:v>
                </c:pt>
              </c:strCache>
            </c:strRef>
          </c:tx>
          <c:spPr>
            <a:ln w="19050" cap="rnd">
              <a:solidFill>
                <a:srgbClr val="00B050"/>
              </a:solidFill>
              <a:round/>
            </a:ln>
            <a:effectLst/>
          </c:spPr>
          <c:marker>
            <c:symbol val="none"/>
          </c:marker>
          <c:xVal>
            <c:numRef>
              <c:f>Sheet1!$A$2:$A$32</c:f>
              <c:numCache>
                <c:formatCode>General</c:formatCode>
                <c:ptCount val="31"/>
                <c:pt idx="0">
                  <c:v>1.0</c:v>
                </c:pt>
                <c:pt idx="1">
                  <c:v>2.0</c:v>
                </c:pt>
                <c:pt idx="2">
                  <c:v>3.0</c:v>
                </c:pt>
                <c:pt idx="3">
                  <c:v>4.0</c:v>
                </c:pt>
                <c:pt idx="4">
                  <c:v>5.0</c:v>
                </c:pt>
                <c:pt idx="5">
                  <c:v>6.0</c:v>
                </c:pt>
                <c:pt idx="6">
                  <c:v>7.0</c:v>
                </c:pt>
                <c:pt idx="7">
                  <c:v>8.0</c:v>
                </c:pt>
                <c:pt idx="8">
                  <c:v>9.0</c:v>
                </c:pt>
                <c:pt idx="9">
                  <c:v>10.0</c:v>
                </c:pt>
                <c:pt idx="10">
                  <c:v>11.0</c:v>
                </c:pt>
                <c:pt idx="11">
                  <c:v>12.0</c:v>
                </c:pt>
                <c:pt idx="12">
                  <c:v>13.0</c:v>
                </c:pt>
                <c:pt idx="13">
                  <c:v>14.0</c:v>
                </c:pt>
                <c:pt idx="14">
                  <c:v>15.0</c:v>
                </c:pt>
                <c:pt idx="15">
                  <c:v>16.0</c:v>
                </c:pt>
                <c:pt idx="16">
                  <c:v>17.0</c:v>
                </c:pt>
                <c:pt idx="17">
                  <c:v>18.0</c:v>
                </c:pt>
                <c:pt idx="18">
                  <c:v>19.0</c:v>
                </c:pt>
                <c:pt idx="19">
                  <c:v>20.0</c:v>
                </c:pt>
                <c:pt idx="20">
                  <c:v>21.0</c:v>
                </c:pt>
                <c:pt idx="21">
                  <c:v>22.0</c:v>
                </c:pt>
                <c:pt idx="22">
                  <c:v>23.0</c:v>
                </c:pt>
                <c:pt idx="23">
                  <c:v>24.0</c:v>
                </c:pt>
                <c:pt idx="24">
                  <c:v>25.0</c:v>
                </c:pt>
                <c:pt idx="25">
                  <c:v>26.0</c:v>
                </c:pt>
                <c:pt idx="26">
                  <c:v>27.0</c:v>
                </c:pt>
                <c:pt idx="27">
                  <c:v>28.0</c:v>
                </c:pt>
                <c:pt idx="28">
                  <c:v>29.0</c:v>
                </c:pt>
                <c:pt idx="29">
                  <c:v>30.0</c:v>
                </c:pt>
                <c:pt idx="30">
                  <c:v>31.0</c:v>
                </c:pt>
              </c:numCache>
            </c:numRef>
          </c:xVal>
          <c:yVal>
            <c:numRef>
              <c:f>Sheet1!$C$2:$C$32</c:f>
              <c:numCache>
                <c:formatCode>General</c:formatCode>
                <c:ptCount val="31"/>
                <c:pt idx="0">
                  <c:v>0.0</c:v>
                </c:pt>
                <c:pt idx="1">
                  <c:v>0.0</c:v>
                </c:pt>
                <c:pt idx="2">
                  <c:v>0.0</c:v>
                </c:pt>
                <c:pt idx="3">
                  <c:v>0.0</c:v>
                </c:pt>
                <c:pt idx="4">
                  <c:v>0.0</c:v>
                </c:pt>
                <c:pt idx="5">
                  <c:v>0.0</c:v>
                </c:pt>
                <c:pt idx="6">
                  <c:v>0.0</c:v>
                </c:pt>
                <c:pt idx="7">
                  <c:v>0.0</c:v>
                </c:pt>
                <c:pt idx="8">
                  <c:v>0.0</c:v>
                </c:pt>
                <c:pt idx="9">
                  <c:v>0.0</c:v>
                </c:pt>
                <c:pt idx="10">
                  <c:v>50.0</c:v>
                </c:pt>
                <c:pt idx="11">
                  <c:v>50.0</c:v>
                </c:pt>
                <c:pt idx="12">
                  <c:v>50.0</c:v>
                </c:pt>
                <c:pt idx="13">
                  <c:v>50.0</c:v>
                </c:pt>
                <c:pt idx="14">
                  <c:v>50.0</c:v>
                </c:pt>
                <c:pt idx="15">
                  <c:v>50.0</c:v>
                </c:pt>
                <c:pt idx="16">
                  <c:v>50.0</c:v>
                </c:pt>
                <c:pt idx="17">
                  <c:v>50.0</c:v>
                </c:pt>
                <c:pt idx="18">
                  <c:v>50.0</c:v>
                </c:pt>
                <c:pt idx="19">
                  <c:v>50.0</c:v>
                </c:pt>
                <c:pt idx="20">
                  <c:v>50.0</c:v>
                </c:pt>
                <c:pt idx="21">
                  <c:v>50.0</c:v>
                </c:pt>
                <c:pt idx="22">
                  <c:v>50.0</c:v>
                </c:pt>
                <c:pt idx="23">
                  <c:v>50.0</c:v>
                </c:pt>
                <c:pt idx="24">
                  <c:v>50.0</c:v>
                </c:pt>
                <c:pt idx="25">
                  <c:v>50.0</c:v>
                </c:pt>
                <c:pt idx="26">
                  <c:v>50.0</c:v>
                </c:pt>
                <c:pt idx="27">
                  <c:v>50.0</c:v>
                </c:pt>
                <c:pt idx="28">
                  <c:v>50.0</c:v>
                </c:pt>
                <c:pt idx="29">
                  <c:v>50.0</c:v>
                </c:pt>
                <c:pt idx="30">
                  <c:v>50.0</c:v>
                </c:pt>
              </c:numCache>
            </c:numRef>
          </c:yVal>
          <c:smooth val="0"/>
        </c:ser>
        <c:dLbls>
          <c:showLegendKey val="0"/>
          <c:showVal val="0"/>
          <c:showCatName val="0"/>
          <c:showSerName val="0"/>
          <c:showPercent val="0"/>
          <c:showBubbleSize val="0"/>
        </c:dLbls>
        <c:axId val="2073842088"/>
        <c:axId val="-2124535032"/>
      </c:scatterChart>
      <c:valAx>
        <c:axId val="2073842088"/>
        <c:scaling>
          <c:orientation val="minMax"/>
          <c:max val="31.0"/>
          <c:min val="1.0"/>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Days</a:t>
                </a:r>
                <a:r>
                  <a:rPr lang="en-US" baseline="0"/>
                  <a:t> of January</a:t>
                </a:r>
                <a:endParaRPr lang="en-US"/>
              </a:p>
            </c:rich>
          </c:tx>
          <c:layout/>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24535032"/>
        <c:crosses val="autoZero"/>
        <c:crossBetween val="midCat"/>
      </c:valAx>
      <c:valAx>
        <c:axId val="-2124535032"/>
        <c:scaling>
          <c:orientation val="minMax"/>
          <c:max val="2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Person per day</a:t>
                </a:r>
              </a:p>
            </c:rich>
          </c:tx>
          <c:layout/>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73842088"/>
        <c:crosses val="autoZero"/>
        <c:crossBetween val="midCat"/>
      </c:valAx>
      <c:spPr>
        <a:noFill/>
        <a:ln>
          <a:noFill/>
        </a:ln>
        <a:effectLst/>
      </c:spPr>
    </c:plotArea>
    <c:legend>
      <c:legendPos val="b"/>
      <c:layout>
        <c:manualLayout>
          <c:xMode val="edge"/>
          <c:yMode val="edge"/>
          <c:x val="0.294999483241996"/>
          <c:y val="0.0960637212015165"/>
          <c:w val="0.55953335662015"/>
          <c:h val="0.17708442694663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00382962836792"/>
          <c:y val="0.0668185109755503"/>
          <c:w val="0.61353120835644"/>
          <c:h val="0.748496463928048"/>
        </c:manualLayout>
      </c:layout>
      <c:scatterChart>
        <c:scatterStyle val="lineMarker"/>
        <c:varyColors val="0"/>
        <c:ser>
          <c:idx val="1"/>
          <c:order val="0"/>
          <c:tx>
            <c:strRef>
              <c:f>Sheet1!$F$1</c:f>
              <c:strCache>
                <c:ptCount val="1"/>
                <c:pt idx="0">
                  <c:v>Cumulative infected</c:v>
                </c:pt>
              </c:strCache>
            </c:strRef>
          </c:tx>
          <c:spPr>
            <a:ln w="28575" cap="rnd">
              <a:solidFill>
                <a:sysClr val="windowText" lastClr="000000"/>
              </a:solidFill>
              <a:round/>
            </a:ln>
            <a:effectLst/>
          </c:spPr>
          <c:marker>
            <c:symbol val="none"/>
          </c:marker>
          <c:xVal>
            <c:numRef>
              <c:f>Sheet1!$A$2:$A$32</c:f>
              <c:numCache>
                <c:formatCode>General</c:formatCode>
                <c:ptCount val="31"/>
                <c:pt idx="0">
                  <c:v>1.0</c:v>
                </c:pt>
                <c:pt idx="1">
                  <c:v>2.0</c:v>
                </c:pt>
                <c:pt idx="2">
                  <c:v>3.0</c:v>
                </c:pt>
                <c:pt idx="3">
                  <c:v>4.0</c:v>
                </c:pt>
                <c:pt idx="4">
                  <c:v>5.0</c:v>
                </c:pt>
                <c:pt idx="5">
                  <c:v>6.0</c:v>
                </c:pt>
                <c:pt idx="6">
                  <c:v>7.0</c:v>
                </c:pt>
                <c:pt idx="7">
                  <c:v>8.0</c:v>
                </c:pt>
                <c:pt idx="8">
                  <c:v>9.0</c:v>
                </c:pt>
                <c:pt idx="9">
                  <c:v>10.0</c:v>
                </c:pt>
                <c:pt idx="10">
                  <c:v>11.0</c:v>
                </c:pt>
                <c:pt idx="11">
                  <c:v>12.0</c:v>
                </c:pt>
                <c:pt idx="12">
                  <c:v>13.0</c:v>
                </c:pt>
                <c:pt idx="13">
                  <c:v>14.0</c:v>
                </c:pt>
                <c:pt idx="14">
                  <c:v>15.0</c:v>
                </c:pt>
                <c:pt idx="15">
                  <c:v>16.0</c:v>
                </c:pt>
                <c:pt idx="16">
                  <c:v>17.0</c:v>
                </c:pt>
                <c:pt idx="17">
                  <c:v>18.0</c:v>
                </c:pt>
                <c:pt idx="18">
                  <c:v>19.0</c:v>
                </c:pt>
                <c:pt idx="19">
                  <c:v>20.0</c:v>
                </c:pt>
                <c:pt idx="20">
                  <c:v>21.0</c:v>
                </c:pt>
                <c:pt idx="21">
                  <c:v>22.0</c:v>
                </c:pt>
                <c:pt idx="22">
                  <c:v>23.0</c:v>
                </c:pt>
                <c:pt idx="23">
                  <c:v>24.0</c:v>
                </c:pt>
                <c:pt idx="24">
                  <c:v>25.0</c:v>
                </c:pt>
                <c:pt idx="25">
                  <c:v>26.0</c:v>
                </c:pt>
                <c:pt idx="26">
                  <c:v>27.0</c:v>
                </c:pt>
                <c:pt idx="27">
                  <c:v>28.0</c:v>
                </c:pt>
                <c:pt idx="28">
                  <c:v>29.0</c:v>
                </c:pt>
                <c:pt idx="29">
                  <c:v>30.0</c:v>
                </c:pt>
                <c:pt idx="30">
                  <c:v>31.0</c:v>
                </c:pt>
              </c:numCache>
            </c:numRef>
          </c:xVal>
          <c:yVal>
            <c:numRef>
              <c:f>Sheet1!$F$2:$F$32</c:f>
              <c:numCache>
                <c:formatCode>General</c:formatCode>
                <c:ptCount val="31"/>
                <c:pt idx="0">
                  <c:v>100.0</c:v>
                </c:pt>
                <c:pt idx="1">
                  <c:v>200.0</c:v>
                </c:pt>
                <c:pt idx="2">
                  <c:v>300.0</c:v>
                </c:pt>
                <c:pt idx="3">
                  <c:v>400.0</c:v>
                </c:pt>
                <c:pt idx="4">
                  <c:v>500.0</c:v>
                </c:pt>
                <c:pt idx="5">
                  <c:v>600.0</c:v>
                </c:pt>
                <c:pt idx="6">
                  <c:v>700.0</c:v>
                </c:pt>
                <c:pt idx="7">
                  <c:v>800.0</c:v>
                </c:pt>
                <c:pt idx="8">
                  <c:v>900.0</c:v>
                </c:pt>
                <c:pt idx="9">
                  <c:v>1000.0</c:v>
                </c:pt>
                <c:pt idx="10">
                  <c:v>1100.0</c:v>
                </c:pt>
                <c:pt idx="11">
                  <c:v>1200.0</c:v>
                </c:pt>
                <c:pt idx="12">
                  <c:v>1300.0</c:v>
                </c:pt>
                <c:pt idx="13">
                  <c:v>1400.0</c:v>
                </c:pt>
                <c:pt idx="14">
                  <c:v>1500.0</c:v>
                </c:pt>
                <c:pt idx="15">
                  <c:v>1600.0</c:v>
                </c:pt>
                <c:pt idx="16">
                  <c:v>1700.0</c:v>
                </c:pt>
                <c:pt idx="17">
                  <c:v>1800.0</c:v>
                </c:pt>
                <c:pt idx="18">
                  <c:v>1900.0</c:v>
                </c:pt>
                <c:pt idx="19">
                  <c:v>2000.0</c:v>
                </c:pt>
                <c:pt idx="20">
                  <c:v>2100.0</c:v>
                </c:pt>
                <c:pt idx="21">
                  <c:v>2200.0</c:v>
                </c:pt>
                <c:pt idx="22">
                  <c:v>2300.0</c:v>
                </c:pt>
                <c:pt idx="23">
                  <c:v>2400.0</c:v>
                </c:pt>
                <c:pt idx="24">
                  <c:v>2500.0</c:v>
                </c:pt>
                <c:pt idx="25">
                  <c:v>2600.0</c:v>
                </c:pt>
                <c:pt idx="26">
                  <c:v>2700.0</c:v>
                </c:pt>
                <c:pt idx="27">
                  <c:v>2800.0</c:v>
                </c:pt>
                <c:pt idx="28">
                  <c:v>2900.0</c:v>
                </c:pt>
                <c:pt idx="29">
                  <c:v>3000.0</c:v>
                </c:pt>
                <c:pt idx="30">
                  <c:v>3100.0</c:v>
                </c:pt>
              </c:numCache>
            </c:numRef>
          </c:yVal>
          <c:smooth val="0"/>
        </c:ser>
        <c:ser>
          <c:idx val="2"/>
          <c:order val="1"/>
          <c:tx>
            <c:strRef>
              <c:f>Sheet1!$G$1</c:f>
              <c:strCache>
                <c:ptCount val="1"/>
                <c:pt idx="0">
                  <c:v>Cumulative recovered</c:v>
                </c:pt>
              </c:strCache>
            </c:strRef>
          </c:tx>
          <c:spPr>
            <a:ln w="28575" cap="rnd">
              <a:solidFill>
                <a:srgbClr val="00B050"/>
              </a:solidFill>
              <a:round/>
            </a:ln>
            <a:effectLst/>
          </c:spPr>
          <c:marker>
            <c:symbol val="none"/>
          </c:marker>
          <c:xVal>
            <c:numRef>
              <c:f>Sheet1!$A$2:$A$32</c:f>
              <c:numCache>
                <c:formatCode>General</c:formatCode>
                <c:ptCount val="31"/>
                <c:pt idx="0">
                  <c:v>1.0</c:v>
                </c:pt>
                <c:pt idx="1">
                  <c:v>2.0</c:v>
                </c:pt>
                <c:pt idx="2">
                  <c:v>3.0</c:v>
                </c:pt>
                <c:pt idx="3">
                  <c:v>4.0</c:v>
                </c:pt>
                <c:pt idx="4">
                  <c:v>5.0</c:v>
                </c:pt>
                <c:pt idx="5">
                  <c:v>6.0</c:v>
                </c:pt>
                <c:pt idx="6">
                  <c:v>7.0</c:v>
                </c:pt>
                <c:pt idx="7">
                  <c:v>8.0</c:v>
                </c:pt>
                <c:pt idx="8">
                  <c:v>9.0</c:v>
                </c:pt>
                <c:pt idx="9">
                  <c:v>10.0</c:v>
                </c:pt>
                <c:pt idx="10">
                  <c:v>11.0</c:v>
                </c:pt>
                <c:pt idx="11">
                  <c:v>12.0</c:v>
                </c:pt>
                <c:pt idx="12">
                  <c:v>13.0</c:v>
                </c:pt>
                <c:pt idx="13">
                  <c:v>14.0</c:v>
                </c:pt>
                <c:pt idx="14">
                  <c:v>15.0</c:v>
                </c:pt>
                <c:pt idx="15">
                  <c:v>16.0</c:v>
                </c:pt>
                <c:pt idx="16">
                  <c:v>17.0</c:v>
                </c:pt>
                <c:pt idx="17">
                  <c:v>18.0</c:v>
                </c:pt>
                <c:pt idx="18">
                  <c:v>19.0</c:v>
                </c:pt>
                <c:pt idx="19">
                  <c:v>20.0</c:v>
                </c:pt>
                <c:pt idx="20">
                  <c:v>21.0</c:v>
                </c:pt>
                <c:pt idx="21">
                  <c:v>22.0</c:v>
                </c:pt>
                <c:pt idx="22">
                  <c:v>23.0</c:v>
                </c:pt>
                <c:pt idx="23">
                  <c:v>24.0</c:v>
                </c:pt>
                <c:pt idx="24">
                  <c:v>25.0</c:v>
                </c:pt>
                <c:pt idx="25">
                  <c:v>26.0</c:v>
                </c:pt>
                <c:pt idx="26">
                  <c:v>27.0</c:v>
                </c:pt>
                <c:pt idx="27">
                  <c:v>28.0</c:v>
                </c:pt>
                <c:pt idx="28">
                  <c:v>29.0</c:v>
                </c:pt>
                <c:pt idx="29">
                  <c:v>30.0</c:v>
                </c:pt>
                <c:pt idx="30">
                  <c:v>31.0</c:v>
                </c:pt>
              </c:numCache>
            </c:numRef>
          </c:xVal>
          <c:yVal>
            <c:numRef>
              <c:f>Sheet1!$G$2:$G$32</c:f>
              <c:numCache>
                <c:formatCode>General</c:formatCode>
                <c:ptCount val="31"/>
                <c:pt idx="0">
                  <c:v>0.0</c:v>
                </c:pt>
                <c:pt idx="1">
                  <c:v>0.0</c:v>
                </c:pt>
                <c:pt idx="2">
                  <c:v>0.0</c:v>
                </c:pt>
                <c:pt idx="3">
                  <c:v>0.0</c:v>
                </c:pt>
                <c:pt idx="4">
                  <c:v>0.0</c:v>
                </c:pt>
                <c:pt idx="5">
                  <c:v>0.0</c:v>
                </c:pt>
                <c:pt idx="6">
                  <c:v>0.0</c:v>
                </c:pt>
                <c:pt idx="7">
                  <c:v>0.0</c:v>
                </c:pt>
                <c:pt idx="8">
                  <c:v>0.0</c:v>
                </c:pt>
                <c:pt idx="9">
                  <c:v>0.0</c:v>
                </c:pt>
                <c:pt idx="10">
                  <c:v>50.0</c:v>
                </c:pt>
                <c:pt idx="11">
                  <c:v>100.0</c:v>
                </c:pt>
                <c:pt idx="12">
                  <c:v>150.0</c:v>
                </c:pt>
                <c:pt idx="13">
                  <c:v>200.0</c:v>
                </c:pt>
                <c:pt idx="14">
                  <c:v>250.0</c:v>
                </c:pt>
                <c:pt idx="15">
                  <c:v>300.0</c:v>
                </c:pt>
                <c:pt idx="16">
                  <c:v>350.0</c:v>
                </c:pt>
                <c:pt idx="17">
                  <c:v>400.0</c:v>
                </c:pt>
                <c:pt idx="18">
                  <c:v>450.0</c:v>
                </c:pt>
                <c:pt idx="19">
                  <c:v>500.0</c:v>
                </c:pt>
                <c:pt idx="20">
                  <c:v>550.0</c:v>
                </c:pt>
                <c:pt idx="21">
                  <c:v>600.0</c:v>
                </c:pt>
                <c:pt idx="22">
                  <c:v>650.0</c:v>
                </c:pt>
                <c:pt idx="23">
                  <c:v>700.0</c:v>
                </c:pt>
                <c:pt idx="24">
                  <c:v>750.0</c:v>
                </c:pt>
                <c:pt idx="25">
                  <c:v>800.0</c:v>
                </c:pt>
                <c:pt idx="26">
                  <c:v>850.0</c:v>
                </c:pt>
                <c:pt idx="27">
                  <c:v>900.0</c:v>
                </c:pt>
                <c:pt idx="28">
                  <c:v>950.0</c:v>
                </c:pt>
                <c:pt idx="29">
                  <c:v>1000.0</c:v>
                </c:pt>
                <c:pt idx="30">
                  <c:v>1050.0</c:v>
                </c:pt>
              </c:numCache>
            </c:numRef>
          </c:yVal>
          <c:smooth val="0"/>
        </c:ser>
        <c:ser>
          <c:idx val="0"/>
          <c:order val="2"/>
          <c:tx>
            <c:strRef>
              <c:f>Sheet1!$E$1</c:f>
              <c:strCache>
                <c:ptCount val="1"/>
                <c:pt idx="0">
                  <c:v>Current infected</c:v>
                </c:pt>
              </c:strCache>
            </c:strRef>
          </c:tx>
          <c:spPr>
            <a:ln w="19050" cap="rnd">
              <a:solidFill>
                <a:srgbClr val="C00000"/>
              </a:solidFill>
              <a:prstDash val="dashDot"/>
              <a:round/>
            </a:ln>
            <a:effectLst/>
          </c:spPr>
          <c:marker>
            <c:symbol val="none"/>
          </c:marker>
          <c:xVal>
            <c:numRef>
              <c:f>Sheet1!$A$2:$A$32</c:f>
              <c:numCache>
                <c:formatCode>General</c:formatCode>
                <c:ptCount val="31"/>
                <c:pt idx="0">
                  <c:v>1.0</c:v>
                </c:pt>
                <c:pt idx="1">
                  <c:v>2.0</c:v>
                </c:pt>
                <c:pt idx="2">
                  <c:v>3.0</c:v>
                </c:pt>
                <c:pt idx="3">
                  <c:v>4.0</c:v>
                </c:pt>
                <c:pt idx="4">
                  <c:v>5.0</c:v>
                </c:pt>
                <c:pt idx="5">
                  <c:v>6.0</c:v>
                </c:pt>
                <c:pt idx="6">
                  <c:v>7.0</c:v>
                </c:pt>
                <c:pt idx="7">
                  <c:v>8.0</c:v>
                </c:pt>
                <c:pt idx="8">
                  <c:v>9.0</c:v>
                </c:pt>
                <c:pt idx="9">
                  <c:v>10.0</c:v>
                </c:pt>
                <c:pt idx="10">
                  <c:v>11.0</c:v>
                </c:pt>
                <c:pt idx="11">
                  <c:v>12.0</c:v>
                </c:pt>
                <c:pt idx="12">
                  <c:v>13.0</c:v>
                </c:pt>
                <c:pt idx="13">
                  <c:v>14.0</c:v>
                </c:pt>
                <c:pt idx="14">
                  <c:v>15.0</c:v>
                </c:pt>
                <c:pt idx="15">
                  <c:v>16.0</c:v>
                </c:pt>
                <c:pt idx="16">
                  <c:v>17.0</c:v>
                </c:pt>
                <c:pt idx="17">
                  <c:v>18.0</c:v>
                </c:pt>
                <c:pt idx="18">
                  <c:v>19.0</c:v>
                </c:pt>
                <c:pt idx="19">
                  <c:v>20.0</c:v>
                </c:pt>
                <c:pt idx="20">
                  <c:v>21.0</c:v>
                </c:pt>
                <c:pt idx="21">
                  <c:v>22.0</c:v>
                </c:pt>
                <c:pt idx="22">
                  <c:v>23.0</c:v>
                </c:pt>
                <c:pt idx="23">
                  <c:v>24.0</c:v>
                </c:pt>
                <c:pt idx="24">
                  <c:v>25.0</c:v>
                </c:pt>
                <c:pt idx="25">
                  <c:v>26.0</c:v>
                </c:pt>
                <c:pt idx="26">
                  <c:v>27.0</c:v>
                </c:pt>
                <c:pt idx="27">
                  <c:v>28.0</c:v>
                </c:pt>
                <c:pt idx="28">
                  <c:v>29.0</c:v>
                </c:pt>
                <c:pt idx="29">
                  <c:v>30.0</c:v>
                </c:pt>
                <c:pt idx="30">
                  <c:v>31.0</c:v>
                </c:pt>
              </c:numCache>
            </c:numRef>
          </c:xVal>
          <c:yVal>
            <c:numRef>
              <c:f>Sheet1!$E$2:$E$32</c:f>
              <c:numCache>
                <c:formatCode>General</c:formatCode>
                <c:ptCount val="31"/>
                <c:pt idx="0">
                  <c:v>100.0</c:v>
                </c:pt>
                <c:pt idx="1">
                  <c:v>200.0</c:v>
                </c:pt>
                <c:pt idx="2">
                  <c:v>300.0</c:v>
                </c:pt>
                <c:pt idx="3">
                  <c:v>400.0</c:v>
                </c:pt>
                <c:pt idx="4">
                  <c:v>500.0</c:v>
                </c:pt>
                <c:pt idx="5">
                  <c:v>600.0</c:v>
                </c:pt>
                <c:pt idx="6">
                  <c:v>700.0</c:v>
                </c:pt>
                <c:pt idx="7">
                  <c:v>800.0</c:v>
                </c:pt>
                <c:pt idx="8">
                  <c:v>900.0</c:v>
                </c:pt>
                <c:pt idx="9">
                  <c:v>1000.0</c:v>
                </c:pt>
                <c:pt idx="10">
                  <c:v>1050.0</c:v>
                </c:pt>
                <c:pt idx="11">
                  <c:v>1100.0</c:v>
                </c:pt>
                <c:pt idx="12">
                  <c:v>1150.0</c:v>
                </c:pt>
                <c:pt idx="13">
                  <c:v>1200.0</c:v>
                </c:pt>
                <c:pt idx="14">
                  <c:v>1250.0</c:v>
                </c:pt>
                <c:pt idx="15">
                  <c:v>1300.0</c:v>
                </c:pt>
                <c:pt idx="16">
                  <c:v>1350.0</c:v>
                </c:pt>
                <c:pt idx="17">
                  <c:v>1400.0</c:v>
                </c:pt>
                <c:pt idx="18">
                  <c:v>1450.0</c:v>
                </c:pt>
                <c:pt idx="19">
                  <c:v>1500.0</c:v>
                </c:pt>
                <c:pt idx="20">
                  <c:v>1550.0</c:v>
                </c:pt>
                <c:pt idx="21">
                  <c:v>1600.0</c:v>
                </c:pt>
                <c:pt idx="22">
                  <c:v>1650.0</c:v>
                </c:pt>
                <c:pt idx="23">
                  <c:v>1700.0</c:v>
                </c:pt>
                <c:pt idx="24">
                  <c:v>1750.0</c:v>
                </c:pt>
                <c:pt idx="25">
                  <c:v>1800.0</c:v>
                </c:pt>
                <c:pt idx="26">
                  <c:v>1850.0</c:v>
                </c:pt>
                <c:pt idx="27">
                  <c:v>1900.0</c:v>
                </c:pt>
                <c:pt idx="28">
                  <c:v>1950.0</c:v>
                </c:pt>
                <c:pt idx="29">
                  <c:v>2000.0</c:v>
                </c:pt>
                <c:pt idx="30">
                  <c:v>2050.0</c:v>
                </c:pt>
              </c:numCache>
            </c:numRef>
          </c:yVal>
          <c:smooth val="0"/>
        </c:ser>
        <c:dLbls>
          <c:showLegendKey val="0"/>
          <c:showVal val="0"/>
          <c:showCatName val="0"/>
          <c:showSerName val="0"/>
          <c:showPercent val="0"/>
          <c:showBubbleSize val="0"/>
        </c:dLbls>
        <c:axId val="-2144062776"/>
        <c:axId val="-2144055816"/>
      </c:scatterChart>
      <c:valAx>
        <c:axId val="-2144062776"/>
        <c:scaling>
          <c:orientation val="minMax"/>
          <c:max val="31.0"/>
          <c:min val="1.0"/>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Days</a:t>
                </a:r>
                <a:r>
                  <a:rPr lang="en-US" baseline="0"/>
                  <a:t> of January</a:t>
                </a:r>
                <a:endParaRPr lang="en-US"/>
              </a:p>
            </c:rich>
          </c:tx>
          <c:layout/>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44055816"/>
        <c:crosses val="autoZero"/>
        <c:crossBetween val="midCat"/>
      </c:valAx>
      <c:valAx>
        <c:axId val="-214405581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Person</a:t>
                </a:r>
              </a:p>
            </c:rich>
          </c:tx>
          <c:layout>
            <c:manualLayout>
              <c:xMode val="edge"/>
              <c:yMode val="edge"/>
              <c:x val="0.0654392120508036"/>
              <c:y val="0.337588618555123"/>
            </c:manualLayout>
          </c:layout>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44062776"/>
        <c:crosses val="autoZero"/>
        <c:crossBetween val="midCat"/>
      </c:valAx>
      <c:spPr>
        <a:noFill/>
        <a:ln>
          <a:noFill/>
        </a:ln>
        <a:effectLst/>
      </c:spPr>
    </c:plotArea>
    <c:legend>
      <c:legendPos val="b"/>
      <c:layout>
        <c:manualLayout>
          <c:xMode val="edge"/>
          <c:yMode val="edge"/>
          <c:x val="0.281368123952581"/>
          <c:y val="0.0766867967196272"/>
          <c:w val="0.630901541827287"/>
          <c:h val="0.267276913702243"/>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75440301804118"/>
          <c:y val="0.0668946287491758"/>
          <c:w val="0.638384522901537"/>
          <c:h val="0.679796433467618"/>
        </c:manualLayout>
      </c:layout>
      <c:scatterChart>
        <c:scatterStyle val="lineMarker"/>
        <c:varyColors val="0"/>
        <c:ser>
          <c:idx val="0"/>
          <c:order val="0"/>
          <c:tx>
            <c:strRef>
              <c:f>'Sheet1 (2)'!$B$1</c:f>
              <c:strCache>
                <c:ptCount val="1"/>
                <c:pt idx="0">
                  <c:v>New infected</c:v>
                </c:pt>
              </c:strCache>
            </c:strRef>
          </c:tx>
          <c:spPr>
            <a:ln w="28575" cap="rnd">
              <a:solidFill>
                <a:schemeClr val="tx1"/>
              </a:solidFill>
              <a:round/>
            </a:ln>
            <a:effectLst/>
          </c:spPr>
          <c:marker>
            <c:symbol val="none"/>
          </c:marker>
          <c:xVal>
            <c:numRef>
              <c:f>'Sheet1 (2)'!$A$2:$A$32</c:f>
              <c:numCache>
                <c:formatCode>General</c:formatCode>
                <c:ptCount val="31"/>
                <c:pt idx="0">
                  <c:v>1.0</c:v>
                </c:pt>
                <c:pt idx="1">
                  <c:v>2.0</c:v>
                </c:pt>
                <c:pt idx="2">
                  <c:v>3.0</c:v>
                </c:pt>
                <c:pt idx="3">
                  <c:v>4.0</c:v>
                </c:pt>
                <c:pt idx="4">
                  <c:v>5.0</c:v>
                </c:pt>
                <c:pt idx="5">
                  <c:v>6.0</c:v>
                </c:pt>
                <c:pt idx="6">
                  <c:v>7.0</c:v>
                </c:pt>
                <c:pt idx="7">
                  <c:v>8.0</c:v>
                </c:pt>
                <c:pt idx="8">
                  <c:v>9.0</c:v>
                </c:pt>
                <c:pt idx="9">
                  <c:v>10.0</c:v>
                </c:pt>
                <c:pt idx="10">
                  <c:v>11.0</c:v>
                </c:pt>
                <c:pt idx="11">
                  <c:v>12.0</c:v>
                </c:pt>
                <c:pt idx="12">
                  <c:v>13.0</c:v>
                </c:pt>
                <c:pt idx="13">
                  <c:v>14.0</c:v>
                </c:pt>
                <c:pt idx="14">
                  <c:v>15.0</c:v>
                </c:pt>
                <c:pt idx="15">
                  <c:v>16.0</c:v>
                </c:pt>
                <c:pt idx="16">
                  <c:v>17.0</c:v>
                </c:pt>
                <c:pt idx="17">
                  <c:v>18.0</c:v>
                </c:pt>
                <c:pt idx="18">
                  <c:v>19.0</c:v>
                </c:pt>
                <c:pt idx="19">
                  <c:v>20.0</c:v>
                </c:pt>
                <c:pt idx="20">
                  <c:v>21.0</c:v>
                </c:pt>
                <c:pt idx="21">
                  <c:v>22.0</c:v>
                </c:pt>
                <c:pt idx="22">
                  <c:v>23.0</c:v>
                </c:pt>
                <c:pt idx="23">
                  <c:v>24.0</c:v>
                </c:pt>
                <c:pt idx="24">
                  <c:v>25.0</c:v>
                </c:pt>
                <c:pt idx="25">
                  <c:v>26.0</c:v>
                </c:pt>
                <c:pt idx="26">
                  <c:v>27.0</c:v>
                </c:pt>
                <c:pt idx="27">
                  <c:v>28.0</c:v>
                </c:pt>
                <c:pt idx="28">
                  <c:v>29.0</c:v>
                </c:pt>
                <c:pt idx="29">
                  <c:v>30.0</c:v>
                </c:pt>
                <c:pt idx="30">
                  <c:v>31.0</c:v>
                </c:pt>
              </c:numCache>
            </c:numRef>
          </c:xVal>
          <c:yVal>
            <c:numRef>
              <c:f>'Sheet1 (2)'!$B$2:$B$32</c:f>
              <c:numCache>
                <c:formatCode>General</c:formatCode>
                <c:ptCount val="31"/>
                <c:pt idx="0">
                  <c:v>50.0</c:v>
                </c:pt>
                <c:pt idx="1">
                  <c:v>50.0</c:v>
                </c:pt>
                <c:pt idx="2">
                  <c:v>50.0</c:v>
                </c:pt>
                <c:pt idx="3">
                  <c:v>50.0</c:v>
                </c:pt>
                <c:pt idx="4">
                  <c:v>50.0</c:v>
                </c:pt>
                <c:pt idx="5">
                  <c:v>100.0</c:v>
                </c:pt>
                <c:pt idx="6">
                  <c:v>100.0</c:v>
                </c:pt>
                <c:pt idx="7">
                  <c:v>100.0</c:v>
                </c:pt>
                <c:pt idx="8">
                  <c:v>100.0</c:v>
                </c:pt>
                <c:pt idx="9">
                  <c:v>100.0</c:v>
                </c:pt>
                <c:pt idx="10">
                  <c:v>100.0</c:v>
                </c:pt>
                <c:pt idx="11">
                  <c:v>100.0</c:v>
                </c:pt>
                <c:pt idx="12">
                  <c:v>100.0</c:v>
                </c:pt>
                <c:pt idx="13">
                  <c:v>100.0</c:v>
                </c:pt>
                <c:pt idx="14">
                  <c:v>100.0</c:v>
                </c:pt>
                <c:pt idx="15">
                  <c:v>50.0</c:v>
                </c:pt>
                <c:pt idx="16">
                  <c:v>50.0</c:v>
                </c:pt>
                <c:pt idx="17">
                  <c:v>50.0</c:v>
                </c:pt>
                <c:pt idx="18">
                  <c:v>50.0</c:v>
                </c:pt>
                <c:pt idx="19">
                  <c:v>50.0</c:v>
                </c:pt>
                <c:pt idx="20">
                  <c:v>0.0</c:v>
                </c:pt>
                <c:pt idx="21">
                  <c:v>0.0</c:v>
                </c:pt>
                <c:pt idx="22">
                  <c:v>0.0</c:v>
                </c:pt>
                <c:pt idx="23">
                  <c:v>0.0</c:v>
                </c:pt>
                <c:pt idx="24">
                  <c:v>0.0</c:v>
                </c:pt>
                <c:pt idx="25">
                  <c:v>0.0</c:v>
                </c:pt>
                <c:pt idx="26">
                  <c:v>0.0</c:v>
                </c:pt>
                <c:pt idx="27">
                  <c:v>0.0</c:v>
                </c:pt>
                <c:pt idx="28">
                  <c:v>0.0</c:v>
                </c:pt>
                <c:pt idx="29">
                  <c:v>0.0</c:v>
                </c:pt>
                <c:pt idx="30">
                  <c:v>0.0</c:v>
                </c:pt>
              </c:numCache>
            </c:numRef>
          </c:yVal>
          <c:smooth val="0"/>
        </c:ser>
        <c:ser>
          <c:idx val="1"/>
          <c:order val="1"/>
          <c:tx>
            <c:strRef>
              <c:f>'Sheet1 (2)'!$C$1</c:f>
              <c:strCache>
                <c:ptCount val="1"/>
                <c:pt idx="0">
                  <c:v>Daily recovery</c:v>
                </c:pt>
              </c:strCache>
            </c:strRef>
          </c:tx>
          <c:spPr>
            <a:ln w="19050" cap="rnd">
              <a:solidFill>
                <a:srgbClr val="00B050"/>
              </a:solidFill>
              <a:round/>
            </a:ln>
            <a:effectLst/>
          </c:spPr>
          <c:marker>
            <c:symbol val="none"/>
          </c:marker>
          <c:xVal>
            <c:numRef>
              <c:f>'Sheet1 (2)'!$A$2:$A$32</c:f>
              <c:numCache>
                <c:formatCode>General</c:formatCode>
                <c:ptCount val="31"/>
                <c:pt idx="0">
                  <c:v>1.0</c:v>
                </c:pt>
                <c:pt idx="1">
                  <c:v>2.0</c:v>
                </c:pt>
                <c:pt idx="2">
                  <c:v>3.0</c:v>
                </c:pt>
                <c:pt idx="3">
                  <c:v>4.0</c:v>
                </c:pt>
                <c:pt idx="4">
                  <c:v>5.0</c:v>
                </c:pt>
                <c:pt idx="5">
                  <c:v>6.0</c:v>
                </c:pt>
                <c:pt idx="6">
                  <c:v>7.0</c:v>
                </c:pt>
                <c:pt idx="7">
                  <c:v>8.0</c:v>
                </c:pt>
                <c:pt idx="8">
                  <c:v>9.0</c:v>
                </c:pt>
                <c:pt idx="9">
                  <c:v>10.0</c:v>
                </c:pt>
                <c:pt idx="10">
                  <c:v>11.0</c:v>
                </c:pt>
                <c:pt idx="11">
                  <c:v>12.0</c:v>
                </c:pt>
                <c:pt idx="12">
                  <c:v>13.0</c:v>
                </c:pt>
                <c:pt idx="13">
                  <c:v>14.0</c:v>
                </c:pt>
                <c:pt idx="14">
                  <c:v>15.0</c:v>
                </c:pt>
                <c:pt idx="15">
                  <c:v>16.0</c:v>
                </c:pt>
                <c:pt idx="16">
                  <c:v>17.0</c:v>
                </c:pt>
                <c:pt idx="17">
                  <c:v>18.0</c:v>
                </c:pt>
                <c:pt idx="18">
                  <c:v>19.0</c:v>
                </c:pt>
                <c:pt idx="19">
                  <c:v>20.0</c:v>
                </c:pt>
                <c:pt idx="20">
                  <c:v>21.0</c:v>
                </c:pt>
                <c:pt idx="21">
                  <c:v>22.0</c:v>
                </c:pt>
                <c:pt idx="22">
                  <c:v>23.0</c:v>
                </c:pt>
                <c:pt idx="23">
                  <c:v>24.0</c:v>
                </c:pt>
                <c:pt idx="24">
                  <c:v>25.0</c:v>
                </c:pt>
                <c:pt idx="25">
                  <c:v>26.0</c:v>
                </c:pt>
                <c:pt idx="26">
                  <c:v>27.0</c:v>
                </c:pt>
                <c:pt idx="27">
                  <c:v>28.0</c:v>
                </c:pt>
                <c:pt idx="28">
                  <c:v>29.0</c:v>
                </c:pt>
                <c:pt idx="29">
                  <c:v>30.0</c:v>
                </c:pt>
                <c:pt idx="30">
                  <c:v>31.0</c:v>
                </c:pt>
              </c:numCache>
            </c:numRef>
          </c:xVal>
          <c:yVal>
            <c:numRef>
              <c:f>'Sheet1 (2)'!$C$2:$C$32</c:f>
              <c:numCache>
                <c:formatCode>General</c:formatCode>
                <c:ptCount val="31"/>
                <c:pt idx="0">
                  <c:v>0.0</c:v>
                </c:pt>
                <c:pt idx="1">
                  <c:v>0.0</c:v>
                </c:pt>
                <c:pt idx="2">
                  <c:v>0.0</c:v>
                </c:pt>
                <c:pt idx="3">
                  <c:v>0.0</c:v>
                </c:pt>
                <c:pt idx="4">
                  <c:v>0.0</c:v>
                </c:pt>
                <c:pt idx="5">
                  <c:v>0.0</c:v>
                </c:pt>
                <c:pt idx="6">
                  <c:v>0.0</c:v>
                </c:pt>
                <c:pt idx="7">
                  <c:v>0.0</c:v>
                </c:pt>
                <c:pt idx="8">
                  <c:v>0.0</c:v>
                </c:pt>
                <c:pt idx="9">
                  <c:v>0.0</c:v>
                </c:pt>
                <c:pt idx="10">
                  <c:v>50.0</c:v>
                </c:pt>
                <c:pt idx="11">
                  <c:v>50.0</c:v>
                </c:pt>
                <c:pt idx="12">
                  <c:v>50.0</c:v>
                </c:pt>
                <c:pt idx="13">
                  <c:v>50.0</c:v>
                </c:pt>
                <c:pt idx="14">
                  <c:v>50.0</c:v>
                </c:pt>
                <c:pt idx="15">
                  <c:v>100.0</c:v>
                </c:pt>
                <c:pt idx="16">
                  <c:v>100.0</c:v>
                </c:pt>
                <c:pt idx="17">
                  <c:v>100.0</c:v>
                </c:pt>
                <c:pt idx="18">
                  <c:v>100.0</c:v>
                </c:pt>
                <c:pt idx="19">
                  <c:v>100.0</c:v>
                </c:pt>
                <c:pt idx="20">
                  <c:v>100.0</c:v>
                </c:pt>
                <c:pt idx="21">
                  <c:v>100.0</c:v>
                </c:pt>
                <c:pt idx="22">
                  <c:v>100.0</c:v>
                </c:pt>
                <c:pt idx="23">
                  <c:v>100.0</c:v>
                </c:pt>
                <c:pt idx="24">
                  <c:v>100.0</c:v>
                </c:pt>
                <c:pt idx="25">
                  <c:v>50.0</c:v>
                </c:pt>
                <c:pt idx="26">
                  <c:v>50.0</c:v>
                </c:pt>
                <c:pt idx="27">
                  <c:v>50.0</c:v>
                </c:pt>
                <c:pt idx="28">
                  <c:v>50.0</c:v>
                </c:pt>
                <c:pt idx="29">
                  <c:v>50.0</c:v>
                </c:pt>
                <c:pt idx="30">
                  <c:v>0.0</c:v>
                </c:pt>
              </c:numCache>
            </c:numRef>
          </c:yVal>
          <c:smooth val="0"/>
        </c:ser>
        <c:dLbls>
          <c:showLegendKey val="0"/>
          <c:showVal val="0"/>
          <c:showCatName val="0"/>
          <c:showSerName val="0"/>
          <c:showPercent val="0"/>
          <c:showBubbleSize val="0"/>
        </c:dLbls>
        <c:axId val="-2124289496"/>
        <c:axId val="-2124282568"/>
      </c:scatterChart>
      <c:valAx>
        <c:axId val="-2124289496"/>
        <c:scaling>
          <c:orientation val="minMax"/>
          <c:max val="31.0"/>
          <c:min val="1.0"/>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Days</a:t>
                </a:r>
                <a:r>
                  <a:rPr lang="en-US" baseline="0"/>
                  <a:t> of January</a:t>
                </a:r>
                <a:endParaRPr lang="en-US"/>
              </a:p>
            </c:rich>
          </c:tx>
          <c:layout/>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24282568"/>
        <c:crosses val="autoZero"/>
        <c:crossBetween val="midCat"/>
      </c:valAx>
      <c:valAx>
        <c:axId val="-2124282568"/>
        <c:scaling>
          <c:orientation val="minMax"/>
          <c:max val="2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Person per day</a:t>
                </a:r>
              </a:p>
            </c:rich>
          </c:tx>
          <c:layout/>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24289496"/>
        <c:crosses val="autoZero"/>
        <c:crossBetween val="midCat"/>
      </c:valAx>
      <c:spPr>
        <a:noFill/>
        <a:ln>
          <a:noFill/>
        </a:ln>
        <a:effectLst/>
      </c:spPr>
    </c:plotArea>
    <c:legend>
      <c:legendPos val="b"/>
      <c:layout>
        <c:manualLayout>
          <c:xMode val="edge"/>
          <c:yMode val="edge"/>
          <c:x val="0.294999483241996"/>
          <c:y val="0.0960637212015165"/>
          <c:w val="0.55953335662015"/>
          <c:h val="0.17708442694663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00382962836792"/>
          <c:y val="0.0668185109755503"/>
          <c:w val="0.61353120835644"/>
          <c:h val="0.748496463928048"/>
        </c:manualLayout>
      </c:layout>
      <c:scatterChart>
        <c:scatterStyle val="lineMarker"/>
        <c:varyColors val="0"/>
        <c:ser>
          <c:idx val="1"/>
          <c:order val="0"/>
          <c:tx>
            <c:strRef>
              <c:f>'Sheet1 (2)'!$F$1</c:f>
              <c:strCache>
                <c:ptCount val="1"/>
                <c:pt idx="0">
                  <c:v>Cumulative infected</c:v>
                </c:pt>
              </c:strCache>
            </c:strRef>
          </c:tx>
          <c:spPr>
            <a:ln w="28575" cap="rnd">
              <a:solidFill>
                <a:sysClr val="windowText" lastClr="000000"/>
              </a:solidFill>
              <a:round/>
            </a:ln>
            <a:effectLst/>
          </c:spPr>
          <c:marker>
            <c:symbol val="none"/>
          </c:marker>
          <c:xVal>
            <c:numRef>
              <c:f>'Sheet1 (2)'!$A$2:$A$32</c:f>
              <c:numCache>
                <c:formatCode>General</c:formatCode>
                <c:ptCount val="31"/>
                <c:pt idx="0">
                  <c:v>1.0</c:v>
                </c:pt>
                <c:pt idx="1">
                  <c:v>2.0</c:v>
                </c:pt>
                <c:pt idx="2">
                  <c:v>3.0</c:v>
                </c:pt>
                <c:pt idx="3">
                  <c:v>4.0</c:v>
                </c:pt>
                <c:pt idx="4">
                  <c:v>5.0</c:v>
                </c:pt>
                <c:pt idx="5">
                  <c:v>6.0</c:v>
                </c:pt>
                <c:pt idx="6">
                  <c:v>7.0</c:v>
                </c:pt>
                <c:pt idx="7">
                  <c:v>8.0</c:v>
                </c:pt>
                <c:pt idx="8">
                  <c:v>9.0</c:v>
                </c:pt>
                <c:pt idx="9">
                  <c:v>10.0</c:v>
                </c:pt>
                <c:pt idx="10">
                  <c:v>11.0</c:v>
                </c:pt>
                <c:pt idx="11">
                  <c:v>12.0</c:v>
                </c:pt>
                <c:pt idx="12">
                  <c:v>13.0</c:v>
                </c:pt>
                <c:pt idx="13">
                  <c:v>14.0</c:v>
                </c:pt>
                <c:pt idx="14">
                  <c:v>15.0</c:v>
                </c:pt>
                <c:pt idx="15">
                  <c:v>16.0</c:v>
                </c:pt>
                <c:pt idx="16">
                  <c:v>17.0</c:v>
                </c:pt>
                <c:pt idx="17">
                  <c:v>18.0</c:v>
                </c:pt>
                <c:pt idx="18">
                  <c:v>19.0</c:v>
                </c:pt>
                <c:pt idx="19">
                  <c:v>20.0</c:v>
                </c:pt>
                <c:pt idx="20">
                  <c:v>21.0</c:v>
                </c:pt>
                <c:pt idx="21">
                  <c:v>22.0</c:v>
                </c:pt>
                <c:pt idx="22">
                  <c:v>23.0</c:v>
                </c:pt>
                <c:pt idx="23">
                  <c:v>24.0</c:v>
                </c:pt>
                <c:pt idx="24">
                  <c:v>25.0</c:v>
                </c:pt>
                <c:pt idx="25">
                  <c:v>26.0</c:v>
                </c:pt>
                <c:pt idx="26">
                  <c:v>27.0</c:v>
                </c:pt>
                <c:pt idx="27">
                  <c:v>28.0</c:v>
                </c:pt>
                <c:pt idx="28">
                  <c:v>29.0</c:v>
                </c:pt>
                <c:pt idx="29">
                  <c:v>30.0</c:v>
                </c:pt>
                <c:pt idx="30">
                  <c:v>31.0</c:v>
                </c:pt>
              </c:numCache>
            </c:numRef>
          </c:xVal>
          <c:yVal>
            <c:numRef>
              <c:f>'Sheet1 (2)'!$F$2:$F$32</c:f>
              <c:numCache>
                <c:formatCode>General</c:formatCode>
                <c:ptCount val="31"/>
                <c:pt idx="0">
                  <c:v>50.0</c:v>
                </c:pt>
                <c:pt idx="1">
                  <c:v>100.0</c:v>
                </c:pt>
                <c:pt idx="2">
                  <c:v>150.0</c:v>
                </c:pt>
                <c:pt idx="3">
                  <c:v>200.0</c:v>
                </c:pt>
                <c:pt idx="4">
                  <c:v>250.0</c:v>
                </c:pt>
                <c:pt idx="5">
                  <c:v>350.0</c:v>
                </c:pt>
                <c:pt idx="6">
                  <c:v>450.0</c:v>
                </c:pt>
                <c:pt idx="7">
                  <c:v>550.0</c:v>
                </c:pt>
                <c:pt idx="8">
                  <c:v>650.0</c:v>
                </c:pt>
                <c:pt idx="9">
                  <c:v>750.0</c:v>
                </c:pt>
                <c:pt idx="10">
                  <c:v>850.0</c:v>
                </c:pt>
                <c:pt idx="11">
                  <c:v>950.0</c:v>
                </c:pt>
                <c:pt idx="12">
                  <c:v>1050.0</c:v>
                </c:pt>
                <c:pt idx="13">
                  <c:v>1150.0</c:v>
                </c:pt>
                <c:pt idx="14">
                  <c:v>1250.0</c:v>
                </c:pt>
                <c:pt idx="15">
                  <c:v>1300.0</c:v>
                </c:pt>
                <c:pt idx="16">
                  <c:v>1350.0</c:v>
                </c:pt>
                <c:pt idx="17">
                  <c:v>1400.0</c:v>
                </c:pt>
                <c:pt idx="18">
                  <c:v>1450.0</c:v>
                </c:pt>
                <c:pt idx="19">
                  <c:v>1500.0</c:v>
                </c:pt>
                <c:pt idx="20">
                  <c:v>1500.0</c:v>
                </c:pt>
                <c:pt idx="21">
                  <c:v>1500.0</c:v>
                </c:pt>
                <c:pt idx="22">
                  <c:v>1500.0</c:v>
                </c:pt>
                <c:pt idx="23">
                  <c:v>1500.0</c:v>
                </c:pt>
                <c:pt idx="24">
                  <c:v>1500.0</c:v>
                </c:pt>
                <c:pt idx="25">
                  <c:v>1500.0</c:v>
                </c:pt>
                <c:pt idx="26">
                  <c:v>1500.0</c:v>
                </c:pt>
                <c:pt idx="27">
                  <c:v>1500.0</c:v>
                </c:pt>
                <c:pt idx="28">
                  <c:v>1500.0</c:v>
                </c:pt>
                <c:pt idx="29">
                  <c:v>1500.0</c:v>
                </c:pt>
                <c:pt idx="30">
                  <c:v>1500.0</c:v>
                </c:pt>
              </c:numCache>
            </c:numRef>
          </c:yVal>
          <c:smooth val="0"/>
        </c:ser>
        <c:ser>
          <c:idx val="2"/>
          <c:order val="1"/>
          <c:tx>
            <c:strRef>
              <c:f>'Sheet1 (2)'!$G$1</c:f>
              <c:strCache>
                <c:ptCount val="1"/>
                <c:pt idx="0">
                  <c:v>Cumulative recovered</c:v>
                </c:pt>
              </c:strCache>
            </c:strRef>
          </c:tx>
          <c:spPr>
            <a:ln w="28575" cap="rnd">
              <a:solidFill>
                <a:srgbClr val="00B050"/>
              </a:solidFill>
              <a:round/>
            </a:ln>
            <a:effectLst/>
          </c:spPr>
          <c:marker>
            <c:symbol val="none"/>
          </c:marker>
          <c:xVal>
            <c:numRef>
              <c:f>'Sheet1 (2)'!$A$2:$A$32</c:f>
              <c:numCache>
                <c:formatCode>General</c:formatCode>
                <c:ptCount val="31"/>
                <c:pt idx="0">
                  <c:v>1.0</c:v>
                </c:pt>
                <c:pt idx="1">
                  <c:v>2.0</c:v>
                </c:pt>
                <c:pt idx="2">
                  <c:v>3.0</c:v>
                </c:pt>
                <c:pt idx="3">
                  <c:v>4.0</c:v>
                </c:pt>
                <c:pt idx="4">
                  <c:v>5.0</c:v>
                </c:pt>
                <c:pt idx="5">
                  <c:v>6.0</c:v>
                </c:pt>
                <c:pt idx="6">
                  <c:v>7.0</c:v>
                </c:pt>
                <c:pt idx="7">
                  <c:v>8.0</c:v>
                </c:pt>
                <c:pt idx="8">
                  <c:v>9.0</c:v>
                </c:pt>
                <c:pt idx="9">
                  <c:v>10.0</c:v>
                </c:pt>
                <c:pt idx="10">
                  <c:v>11.0</c:v>
                </c:pt>
                <c:pt idx="11">
                  <c:v>12.0</c:v>
                </c:pt>
                <c:pt idx="12">
                  <c:v>13.0</c:v>
                </c:pt>
                <c:pt idx="13">
                  <c:v>14.0</c:v>
                </c:pt>
                <c:pt idx="14">
                  <c:v>15.0</c:v>
                </c:pt>
                <c:pt idx="15">
                  <c:v>16.0</c:v>
                </c:pt>
                <c:pt idx="16">
                  <c:v>17.0</c:v>
                </c:pt>
                <c:pt idx="17">
                  <c:v>18.0</c:v>
                </c:pt>
                <c:pt idx="18">
                  <c:v>19.0</c:v>
                </c:pt>
                <c:pt idx="19">
                  <c:v>20.0</c:v>
                </c:pt>
                <c:pt idx="20">
                  <c:v>21.0</c:v>
                </c:pt>
                <c:pt idx="21">
                  <c:v>22.0</c:v>
                </c:pt>
                <c:pt idx="22">
                  <c:v>23.0</c:v>
                </c:pt>
                <c:pt idx="23">
                  <c:v>24.0</c:v>
                </c:pt>
                <c:pt idx="24">
                  <c:v>25.0</c:v>
                </c:pt>
                <c:pt idx="25">
                  <c:v>26.0</c:v>
                </c:pt>
                <c:pt idx="26">
                  <c:v>27.0</c:v>
                </c:pt>
                <c:pt idx="27">
                  <c:v>28.0</c:v>
                </c:pt>
                <c:pt idx="28">
                  <c:v>29.0</c:v>
                </c:pt>
                <c:pt idx="29">
                  <c:v>30.0</c:v>
                </c:pt>
                <c:pt idx="30">
                  <c:v>31.0</c:v>
                </c:pt>
              </c:numCache>
            </c:numRef>
          </c:xVal>
          <c:yVal>
            <c:numRef>
              <c:f>'Sheet1 (2)'!$G$2:$G$32</c:f>
              <c:numCache>
                <c:formatCode>General</c:formatCode>
                <c:ptCount val="31"/>
                <c:pt idx="0">
                  <c:v>0.0</c:v>
                </c:pt>
                <c:pt idx="1">
                  <c:v>0.0</c:v>
                </c:pt>
                <c:pt idx="2">
                  <c:v>0.0</c:v>
                </c:pt>
                <c:pt idx="3">
                  <c:v>0.0</c:v>
                </c:pt>
                <c:pt idx="4">
                  <c:v>0.0</c:v>
                </c:pt>
                <c:pt idx="5">
                  <c:v>0.0</c:v>
                </c:pt>
                <c:pt idx="6">
                  <c:v>0.0</c:v>
                </c:pt>
                <c:pt idx="7">
                  <c:v>0.0</c:v>
                </c:pt>
                <c:pt idx="8">
                  <c:v>0.0</c:v>
                </c:pt>
                <c:pt idx="9">
                  <c:v>0.0</c:v>
                </c:pt>
                <c:pt idx="10">
                  <c:v>50.0</c:v>
                </c:pt>
                <c:pt idx="11">
                  <c:v>100.0</c:v>
                </c:pt>
                <c:pt idx="12">
                  <c:v>150.0</c:v>
                </c:pt>
                <c:pt idx="13">
                  <c:v>200.0</c:v>
                </c:pt>
                <c:pt idx="14">
                  <c:v>250.0</c:v>
                </c:pt>
                <c:pt idx="15">
                  <c:v>350.0</c:v>
                </c:pt>
                <c:pt idx="16">
                  <c:v>450.0</c:v>
                </c:pt>
                <c:pt idx="17">
                  <c:v>550.0</c:v>
                </c:pt>
                <c:pt idx="18">
                  <c:v>650.0</c:v>
                </c:pt>
                <c:pt idx="19">
                  <c:v>750.0</c:v>
                </c:pt>
                <c:pt idx="20">
                  <c:v>850.0</c:v>
                </c:pt>
                <c:pt idx="21">
                  <c:v>950.0</c:v>
                </c:pt>
                <c:pt idx="22">
                  <c:v>1050.0</c:v>
                </c:pt>
                <c:pt idx="23">
                  <c:v>1150.0</c:v>
                </c:pt>
                <c:pt idx="24">
                  <c:v>1250.0</c:v>
                </c:pt>
                <c:pt idx="25">
                  <c:v>1300.0</c:v>
                </c:pt>
                <c:pt idx="26">
                  <c:v>1350.0</c:v>
                </c:pt>
                <c:pt idx="27">
                  <c:v>1400.0</c:v>
                </c:pt>
                <c:pt idx="28">
                  <c:v>1450.0</c:v>
                </c:pt>
                <c:pt idx="29">
                  <c:v>1500.0</c:v>
                </c:pt>
                <c:pt idx="30">
                  <c:v>1500.0</c:v>
                </c:pt>
              </c:numCache>
            </c:numRef>
          </c:yVal>
          <c:smooth val="0"/>
        </c:ser>
        <c:ser>
          <c:idx val="0"/>
          <c:order val="2"/>
          <c:tx>
            <c:strRef>
              <c:f>'Sheet1 (2)'!$E$1</c:f>
              <c:strCache>
                <c:ptCount val="1"/>
                <c:pt idx="0">
                  <c:v>Current infected</c:v>
                </c:pt>
              </c:strCache>
            </c:strRef>
          </c:tx>
          <c:spPr>
            <a:ln w="19050" cap="rnd">
              <a:solidFill>
                <a:srgbClr val="C00000"/>
              </a:solidFill>
              <a:prstDash val="dashDot"/>
              <a:round/>
            </a:ln>
            <a:effectLst/>
          </c:spPr>
          <c:marker>
            <c:symbol val="none"/>
          </c:marker>
          <c:xVal>
            <c:numRef>
              <c:f>'Sheet1 (2)'!$A$2:$A$32</c:f>
              <c:numCache>
                <c:formatCode>General</c:formatCode>
                <c:ptCount val="31"/>
                <c:pt idx="0">
                  <c:v>1.0</c:v>
                </c:pt>
                <c:pt idx="1">
                  <c:v>2.0</c:v>
                </c:pt>
                <c:pt idx="2">
                  <c:v>3.0</c:v>
                </c:pt>
                <c:pt idx="3">
                  <c:v>4.0</c:v>
                </c:pt>
                <c:pt idx="4">
                  <c:v>5.0</c:v>
                </c:pt>
                <c:pt idx="5">
                  <c:v>6.0</c:v>
                </c:pt>
                <c:pt idx="6">
                  <c:v>7.0</c:v>
                </c:pt>
                <c:pt idx="7">
                  <c:v>8.0</c:v>
                </c:pt>
                <c:pt idx="8">
                  <c:v>9.0</c:v>
                </c:pt>
                <c:pt idx="9">
                  <c:v>10.0</c:v>
                </c:pt>
                <c:pt idx="10">
                  <c:v>11.0</c:v>
                </c:pt>
                <c:pt idx="11">
                  <c:v>12.0</c:v>
                </c:pt>
                <c:pt idx="12">
                  <c:v>13.0</c:v>
                </c:pt>
                <c:pt idx="13">
                  <c:v>14.0</c:v>
                </c:pt>
                <c:pt idx="14">
                  <c:v>15.0</c:v>
                </c:pt>
                <c:pt idx="15">
                  <c:v>16.0</c:v>
                </c:pt>
                <c:pt idx="16">
                  <c:v>17.0</c:v>
                </c:pt>
                <c:pt idx="17">
                  <c:v>18.0</c:v>
                </c:pt>
                <c:pt idx="18">
                  <c:v>19.0</c:v>
                </c:pt>
                <c:pt idx="19">
                  <c:v>20.0</c:v>
                </c:pt>
                <c:pt idx="20">
                  <c:v>21.0</c:v>
                </c:pt>
                <c:pt idx="21">
                  <c:v>22.0</c:v>
                </c:pt>
                <c:pt idx="22">
                  <c:v>23.0</c:v>
                </c:pt>
                <c:pt idx="23">
                  <c:v>24.0</c:v>
                </c:pt>
                <c:pt idx="24">
                  <c:v>25.0</c:v>
                </c:pt>
                <c:pt idx="25">
                  <c:v>26.0</c:v>
                </c:pt>
                <c:pt idx="26">
                  <c:v>27.0</c:v>
                </c:pt>
                <c:pt idx="27">
                  <c:v>28.0</c:v>
                </c:pt>
                <c:pt idx="28">
                  <c:v>29.0</c:v>
                </c:pt>
                <c:pt idx="29">
                  <c:v>30.0</c:v>
                </c:pt>
                <c:pt idx="30">
                  <c:v>31.0</c:v>
                </c:pt>
              </c:numCache>
            </c:numRef>
          </c:xVal>
          <c:yVal>
            <c:numRef>
              <c:f>'Sheet1 (2)'!$E$2:$E$32</c:f>
              <c:numCache>
                <c:formatCode>General</c:formatCode>
                <c:ptCount val="31"/>
                <c:pt idx="0">
                  <c:v>50.0</c:v>
                </c:pt>
                <c:pt idx="1">
                  <c:v>100.0</c:v>
                </c:pt>
                <c:pt idx="2">
                  <c:v>150.0</c:v>
                </c:pt>
                <c:pt idx="3">
                  <c:v>200.0</c:v>
                </c:pt>
                <c:pt idx="4">
                  <c:v>250.0</c:v>
                </c:pt>
                <c:pt idx="5">
                  <c:v>350.0</c:v>
                </c:pt>
                <c:pt idx="6">
                  <c:v>450.0</c:v>
                </c:pt>
                <c:pt idx="7">
                  <c:v>550.0</c:v>
                </c:pt>
                <c:pt idx="8">
                  <c:v>650.0</c:v>
                </c:pt>
                <c:pt idx="9">
                  <c:v>750.0</c:v>
                </c:pt>
                <c:pt idx="10">
                  <c:v>800.0</c:v>
                </c:pt>
                <c:pt idx="11">
                  <c:v>850.0</c:v>
                </c:pt>
                <c:pt idx="12">
                  <c:v>900.0</c:v>
                </c:pt>
                <c:pt idx="13">
                  <c:v>950.0</c:v>
                </c:pt>
                <c:pt idx="14">
                  <c:v>1000.0</c:v>
                </c:pt>
                <c:pt idx="15">
                  <c:v>950.0</c:v>
                </c:pt>
                <c:pt idx="16">
                  <c:v>900.0</c:v>
                </c:pt>
                <c:pt idx="17">
                  <c:v>850.0</c:v>
                </c:pt>
                <c:pt idx="18">
                  <c:v>800.0</c:v>
                </c:pt>
                <c:pt idx="19">
                  <c:v>750.0</c:v>
                </c:pt>
                <c:pt idx="20">
                  <c:v>650.0</c:v>
                </c:pt>
                <c:pt idx="21">
                  <c:v>550.0</c:v>
                </c:pt>
                <c:pt idx="22">
                  <c:v>450.0</c:v>
                </c:pt>
                <c:pt idx="23">
                  <c:v>350.0</c:v>
                </c:pt>
                <c:pt idx="24">
                  <c:v>250.0</c:v>
                </c:pt>
                <c:pt idx="25">
                  <c:v>200.0</c:v>
                </c:pt>
                <c:pt idx="26">
                  <c:v>150.0</c:v>
                </c:pt>
                <c:pt idx="27">
                  <c:v>100.0</c:v>
                </c:pt>
                <c:pt idx="28">
                  <c:v>50.0</c:v>
                </c:pt>
                <c:pt idx="29">
                  <c:v>0.0</c:v>
                </c:pt>
                <c:pt idx="30">
                  <c:v>0.0</c:v>
                </c:pt>
              </c:numCache>
            </c:numRef>
          </c:yVal>
          <c:smooth val="0"/>
        </c:ser>
        <c:dLbls>
          <c:showLegendKey val="0"/>
          <c:showVal val="0"/>
          <c:showCatName val="0"/>
          <c:showSerName val="0"/>
          <c:showPercent val="0"/>
          <c:showBubbleSize val="0"/>
        </c:dLbls>
        <c:axId val="-2124238632"/>
        <c:axId val="-2124231704"/>
      </c:scatterChart>
      <c:valAx>
        <c:axId val="-2124238632"/>
        <c:scaling>
          <c:orientation val="minMax"/>
          <c:max val="31.0"/>
          <c:min val="1.0"/>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Days</a:t>
                </a:r>
                <a:r>
                  <a:rPr lang="en-US" baseline="0"/>
                  <a:t> of January</a:t>
                </a:r>
                <a:endParaRPr lang="en-US"/>
              </a:p>
            </c:rich>
          </c:tx>
          <c:layout/>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24231704"/>
        <c:crosses val="autoZero"/>
        <c:crossBetween val="midCat"/>
      </c:valAx>
      <c:valAx>
        <c:axId val="-212423170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Person</a:t>
                </a:r>
              </a:p>
            </c:rich>
          </c:tx>
          <c:layout/>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24238632"/>
        <c:crosses val="autoZero"/>
        <c:crossBetween val="midCat"/>
      </c:valAx>
      <c:spPr>
        <a:noFill/>
        <a:ln>
          <a:noFill/>
        </a:ln>
        <a:effectLst/>
      </c:spPr>
    </c:plotArea>
    <c:legend>
      <c:legendPos val="b"/>
      <c:layout>
        <c:manualLayout>
          <c:xMode val="edge"/>
          <c:yMode val="edge"/>
          <c:x val="0.270303107396441"/>
          <c:y val="0.0645379765422545"/>
          <c:w val="0.630901541827287"/>
          <c:h val="0.1883095825493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1064</Words>
  <Characters>6067</Characters>
  <Application>Microsoft Macintosh Word</Application>
  <DocSecurity>0</DocSecurity>
  <Lines>50</Lines>
  <Paragraphs>14</Paragraphs>
  <ScaleCrop>false</ScaleCrop>
  <Company>MIT</Company>
  <LinksUpToDate>false</LinksUpToDate>
  <CharactersWithSpaces>7117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Murray</dc:creator>
  <cp:keywords/>
  <dc:description/>
  <cp:lastModifiedBy>Liz Murray</cp:lastModifiedBy>
  <cp:revision>2</cp:revision>
  <dcterms:created xsi:type="dcterms:W3CDTF">2020-06-09T15:24:00Z</dcterms:created>
  <dcterms:modified xsi:type="dcterms:W3CDTF">2020-06-09T15:24:00Z</dcterms:modified>
</cp:coreProperties>
</file>